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405" w:lineRule="atLeast"/>
        <w:ind w:left="0" w:right="0" w:firstLine="0"/>
        <w:textAlignment w:val="baseline"/>
        <w:rPr>
          <w:rFonts w:hint="eastAsia" w:ascii="微软雅黑" w:hAnsi="微软雅黑" w:eastAsia="微软雅黑" w:cs="微软雅黑"/>
          <w:i w:val="0"/>
          <w:caps w:val="0"/>
          <w:color w:val="111111"/>
          <w:spacing w:val="0"/>
          <w:sz w:val="27"/>
          <w:szCs w:val="27"/>
        </w:rPr>
      </w:pPr>
      <w:r>
        <w:rPr>
          <w:rFonts w:hint="eastAsia" w:ascii="微软雅黑" w:hAnsi="微软雅黑" w:eastAsia="微软雅黑" w:cs="微软雅黑"/>
          <w:i w:val="0"/>
          <w:caps w:val="0"/>
          <w:color w:val="111111"/>
          <w:spacing w:val="0"/>
          <w:sz w:val="27"/>
          <w:szCs w:val="27"/>
          <w:shd w:val="clear" w:fill="FFFFFF"/>
          <w:vertAlign w:val="baseline"/>
        </w:rPr>
        <w:drawing>
          <wp:inline distT="0" distB="0" distL="114300" distR="114300">
            <wp:extent cx="6064885" cy="323215"/>
            <wp:effectExtent l="0" t="0" r="12065" b="635"/>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4"/>
                    <a:stretch>
                      <a:fillRect/>
                    </a:stretch>
                  </pic:blipFill>
                  <pic:spPr>
                    <a:xfrm>
                      <a:off x="0" y="0"/>
                      <a:ext cx="6064885" cy="323215"/>
                    </a:xfrm>
                    <a:prstGeom prst="rect">
                      <a:avLst/>
                    </a:prstGeom>
                    <a:noFill/>
                    <a:ln w="9525">
                      <a:noFill/>
                    </a:ln>
                  </pic:spPr>
                </pic:pic>
              </a:graphicData>
            </a:graphic>
          </wp:inline>
        </w:drawing>
      </w:r>
    </w:p>
    <w:p>
      <w:pPr>
        <w:rPr>
          <w:rFonts w:hint="eastAsia" w:ascii="仿宋_GB2312" w:hAnsi="仿宋_GB2312" w:eastAsia="仿宋_GB2312" w:cs="仿宋_GB2312"/>
          <w:b/>
          <w:bCs/>
          <w:i w:val="0"/>
          <w:caps w:val="0"/>
          <w:color w:val="111111"/>
          <w:spacing w:val="0"/>
          <w:sz w:val="27"/>
          <w:szCs w:val="27"/>
          <w:shd w:val="clear" w:fill="FFFFFF"/>
          <w:vertAlign w:val="baseline"/>
          <w:lang w:eastAsia="zh-CN"/>
        </w:rPr>
      </w:pPr>
      <w:r>
        <w:rPr>
          <w:rFonts w:hint="eastAsia" w:ascii="仿宋_GB2312" w:hAnsi="仿宋_GB2312" w:eastAsia="仿宋_GB2312" w:cs="仿宋_GB2312"/>
          <w:b/>
          <w:bCs/>
          <w:i w:val="0"/>
          <w:caps w:val="0"/>
          <w:color w:val="111111"/>
          <w:spacing w:val="0"/>
          <w:sz w:val="27"/>
          <w:szCs w:val="27"/>
          <w:shd w:val="clear" w:fill="FFFFFF"/>
          <w:vertAlign w:val="baseline"/>
          <w:lang w:eastAsia="zh-CN"/>
        </w:rPr>
        <w:t>附件：参会企业名单</w:t>
      </w:r>
    </w:p>
    <w:p>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405" w:lineRule="atLeast"/>
        <w:ind w:left="0" w:right="0" w:firstLine="0"/>
        <w:jc w:val="left"/>
        <w:textAlignment w:val="baseline"/>
        <w:rPr>
          <w:rFonts w:hint="eastAsia" w:ascii="微软雅黑" w:hAnsi="微软雅黑" w:eastAsia="微软雅黑" w:cs="微软雅黑"/>
          <w:i w:val="0"/>
          <w:caps w:val="0"/>
          <w:color w:val="111111"/>
          <w:spacing w:val="0"/>
          <w:sz w:val="27"/>
          <w:szCs w:val="27"/>
        </w:rPr>
      </w:pPr>
      <w:r>
        <w:rPr>
          <w:rFonts w:hint="eastAsia" w:ascii="微软雅黑" w:hAnsi="微软雅黑" w:eastAsia="微软雅黑" w:cs="微软雅黑"/>
          <w:i w:val="0"/>
          <w:caps w:val="0"/>
          <w:color w:val="111111"/>
          <w:spacing w:val="0"/>
          <w:sz w:val="27"/>
          <w:szCs w:val="27"/>
        </w:rPr>
        <w:t>衡阳市教育局7所直属学校优秀教育人才需求目录</w:t>
      </w:r>
      <w:r>
        <w:rPr>
          <w:rFonts w:hint="eastAsia" w:ascii="微软雅黑" w:hAnsi="微软雅黑" w:eastAsia="微软雅黑" w:cs="微软雅黑"/>
          <w:i w:val="0"/>
          <w:caps w:val="0"/>
          <w:color w:val="111111"/>
          <w:spacing w:val="0"/>
          <w:sz w:val="27"/>
          <w:szCs w:val="27"/>
          <w:lang w:eastAsia="zh-CN"/>
        </w:rPr>
        <w:t>（带编）</w:t>
      </w:r>
    </w:p>
    <w:tbl>
      <w:tblPr>
        <w:tblStyle w:val="5"/>
        <w:tblW w:w="99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9"/>
        <w:gridCol w:w="1141"/>
        <w:gridCol w:w="435"/>
        <w:gridCol w:w="643"/>
        <w:gridCol w:w="1141"/>
        <w:gridCol w:w="55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2" w:hRule="atLeast"/>
          <w:tblHeader/>
          <w:jc w:val="center"/>
        </w:trPr>
        <w:tc>
          <w:tcPr>
            <w:tcW w:w="100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60" w:lineRule="exact"/>
              <w:jc w:val="center"/>
              <w:textAlignment w:val="auto"/>
              <w:rPr>
                <w:rFonts w:hint="eastAsia" w:ascii="方正仿宋简体" w:hAnsi="方正仿宋简体" w:eastAsia="方正仿宋简体" w:cs="方正仿宋简体"/>
                <w:b w:val="0"/>
                <w:bCs/>
                <w:color w:val="000000"/>
                <w:sz w:val="24"/>
                <w:szCs w:val="24"/>
              </w:rPr>
            </w:pPr>
            <w:r>
              <w:rPr>
                <w:rFonts w:hint="eastAsia" w:ascii="方正仿宋简体" w:hAnsi="方正仿宋简体" w:eastAsia="方正仿宋简体" w:cs="方正仿宋简体"/>
                <w:b w:val="0"/>
                <w:bCs/>
                <w:color w:val="000000"/>
                <w:sz w:val="24"/>
                <w:szCs w:val="24"/>
              </w:rPr>
              <w:t>用人单位</w:t>
            </w:r>
          </w:p>
        </w:tc>
        <w:tc>
          <w:tcPr>
            <w:tcW w:w="114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60" w:lineRule="exact"/>
              <w:jc w:val="center"/>
              <w:textAlignment w:val="auto"/>
              <w:rPr>
                <w:rFonts w:hint="eastAsia" w:ascii="方正仿宋简体" w:hAnsi="方正仿宋简体" w:eastAsia="方正仿宋简体" w:cs="方正仿宋简体"/>
                <w:b w:val="0"/>
                <w:bCs/>
                <w:color w:val="000000"/>
                <w:sz w:val="24"/>
                <w:szCs w:val="24"/>
              </w:rPr>
            </w:pPr>
            <w:r>
              <w:rPr>
                <w:rFonts w:hint="eastAsia" w:ascii="方正仿宋简体" w:hAnsi="方正仿宋简体" w:eastAsia="方正仿宋简体" w:cs="方正仿宋简体"/>
                <w:b w:val="0"/>
                <w:bCs/>
                <w:color w:val="000000"/>
                <w:sz w:val="24"/>
                <w:szCs w:val="24"/>
              </w:rPr>
              <w:t>需求岗位</w:t>
            </w:r>
          </w:p>
        </w:tc>
        <w:tc>
          <w:tcPr>
            <w:tcW w:w="43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60" w:lineRule="exact"/>
              <w:jc w:val="center"/>
              <w:textAlignment w:val="auto"/>
              <w:rPr>
                <w:rFonts w:hint="eastAsia" w:ascii="方正仿宋简体" w:hAnsi="方正仿宋简体" w:eastAsia="方正仿宋简体" w:cs="方正仿宋简体"/>
                <w:b w:val="0"/>
                <w:bCs/>
                <w:color w:val="000000"/>
                <w:sz w:val="24"/>
                <w:szCs w:val="24"/>
              </w:rPr>
            </w:pPr>
            <w:r>
              <w:rPr>
                <w:rFonts w:hint="eastAsia" w:ascii="方正仿宋简体" w:hAnsi="方正仿宋简体" w:eastAsia="方正仿宋简体" w:cs="方正仿宋简体"/>
                <w:b w:val="0"/>
                <w:bCs/>
                <w:color w:val="000000"/>
                <w:sz w:val="24"/>
                <w:szCs w:val="24"/>
              </w:rPr>
              <w:t>计划</w:t>
            </w:r>
          </w:p>
          <w:p>
            <w:pPr>
              <w:keepNext w:val="0"/>
              <w:keepLines w:val="0"/>
              <w:pageBreakBefore w:val="0"/>
              <w:widowControl/>
              <w:kinsoku/>
              <w:wordWrap/>
              <w:overflowPunct/>
              <w:topLinePunct w:val="0"/>
              <w:autoSpaceDE/>
              <w:autoSpaceDN/>
              <w:bidi w:val="0"/>
              <w:adjustRightInd/>
              <w:snapToGrid/>
              <w:spacing w:beforeLines="0" w:afterLines="0" w:line="260" w:lineRule="exact"/>
              <w:jc w:val="center"/>
              <w:textAlignment w:val="auto"/>
              <w:rPr>
                <w:rFonts w:hint="eastAsia" w:ascii="方正仿宋简体" w:hAnsi="方正仿宋简体" w:eastAsia="方正仿宋简体" w:cs="方正仿宋简体"/>
                <w:b w:val="0"/>
                <w:bCs/>
                <w:color w:val="000000"/>
                <w:sz w:val="24"/>
                <w:szCs w:val="24"/>
              </w:rPr>
            </w:pPr>
            <w:r>
              <w:rPr>
                <w:rFonts w:hint="eastAsia" w:ascii="方正仿宋简体" w:hAnsi="方正仿宋简体" w:eastAsia="方正仿宋简体" w:cs="方正仿宋简体"/>
                <w:b w:val="0"/>
                <w:bCs/>
                <w:color w:val="000000"/>
                <w:sz w:val="24"/>
                <w:szCs w:val="24"/>
                <w:lang w:eastAsia="zh-CN"/>
              </w:rPr>
              <w:t>人</w:t>
            </w:r>
            <w:r>
              <w:rPr>
                <w:rFonts w:hint="eastAsia" w:ascii="方正仿宋简体" w:hAnsi="方正仿宋简体" w:eastAsia="方正仿宋简体" w:cs="方正仿宋简体"/>
                <w:b w:val="0"/>
                <w:bCs/>
                <w:color w:val="000000"/>
                <w:sz w:val="24"/>
                <w:szCs w:val="24"/>
              </w:rPr>
              <w:t>数</w:t>
            </w:r>
          </w:p>
        </w:tc>
        <w:tc>
          <w:tcPr>
            <w:tcW w:w="64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60" w:lineRule="exact"/>
              <w:jc w:val="center"/>
              <w:textAlignment w:val="auto"/>
              <w:rPr>
                <w:rFonts w:hint="eastAsia" w:ascii="方正仿宋简体" w:hAnsi="方正仿宋简体" w:eastAsia="方正仿宋简体" w:cs="方正仿宋简体"/>
                <w:b w:val="0"/>
                <w:bCs/>
                <w:color w:val="000000"/>
                <w:sz w:val="24"/>
                <w:szCs w:val="24"/>
              </w:rPr>
            </w:pPr>
            <w:r>
              <w:rPr>
                <w:rFonts w:hint="eastAsia" w:ascii="方正仿宋简体" w:hAnsi="方正仿宋简体" w:eastAsia="方正仿宋简体" w:cs="方正仿宋简体"/>
                <w:b w:val="0"/>
                <w:bCs/>
                <w:color w:val="000000"/>
                <w:sz w:val="24"/>
                <w:szCs w:val="24"/>
              </w:rPr>
              <w:t>最低学</w:t>
            </w:r>
          </w:p>
          <w:p>
            <w:pPr>
              <w:keepNext w:val="0"/>
              <w:keepLines w:val="0"/>
              <w:pageBreakBefore w:val="0"/>
              <w:widowControl/>
              <w:kinsoku/>
              <w:wordWrap/>
              <w:overflowPunct/>
              <w:topLinePunct w:val="0"/>
              <w:autoSpaceDE/>
              <w:autoSpaceDN/>
              <w:bidi w:val="0"/>
              <w:adjustRightInd/>
              <w:snapToGrid/>
              <w:spacing w:beforeLines="0" w:afterLines="0" w:line="260" w:lineRule="exact"/>
              <w:jc w:val="center"/>
              <w:textAlignment w:val="auto"/>
              <w:rPr>
                <w:rFonts w:hint="eastAsia" w:ascii="方正仿宋简体" w:hAnsi="方正仿宋简体" w:eastAsia="方正仿宋简体" w:cs="方正仿宋简体"/>
                <w:b w:val="0"/>
                <w:bCs/>
                <w:color w:val="000000"/>
                <w:sz w:val="24"/>
                <w:szCs w:val="24"/>
              </w:rPr>
            </w:pPr>
            <w:r>
              <w:rPr>
                <w:rFonts w:hint="eastAsia" w:ascii="方正仿宋简体" w:hAnsi="方正仿宋简体" w:eastAsia="方正仿宋简体" w:cs="方正仿宋简体"/>
                <w:b w:val="0"/>
                <w:bCs/>
                <w:color w:val="000000"/>
                <w:sz w:val="24"/>
                <w:szCs w:val="24"/>
              </w:rPr>
              <w:t>历要求</w:t>
            </w:r>
          </w:p>
        </w:tc>
        <w:tc>
          <w:tcPr>
            <w:tcW w:w="114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60" w:lineRule="exact"/>
              <w:jc w:val="center"/>
              <w:textAlignment w:val="auto"/>
              <w:rPr>
                <w:rFonts w:hint="eastAsia" w:ascii="方正仿宋简体" w:hAnsi="方正仿宋简体" w:eastAsia="方正仿宋简体" w:cs="方正仿宋简体"/>
                <w:b w:val="0"/>
                <w:bCs/>
                <w:color w:val="000000"/>
                <w:sz w:val="24"/>
                <w:szCs w:val="24"/>
              </w:rPr>
            </w:pPr>
            <w:r>
              <w:rPr>
                <w:rFonts w:hint="eastAsia" w:ascii="方正仿宋简体" w:hAnsi="方正仿宋简体" w:eastAsia="方正仿宋简体" w:cs="方正仿宋简体"/>
                <w:b w:val="0"/>
                <w:bCs/>
                <w:color w:val="000000"/>
                <w:sz w:val="24"/>
                <w:szCs w:val="24"/>
              </w:rPr>
              <w:t>教师资格证</w:t>
            </w:r>
          </w:p>
          <w:p>
            <w:pPr>
              <w:keepNext w:val="0"/>
              <w:keepLines w:val="0"/>
              <w:pageBreakBefore w:val="0"/>
              <w:widowControl/>
              <w:kinsoku/>
              <w:wordWrap/>
              <w:overflowPunct/>
              <w:topLinePunct w:val="0"/>
              <w:autoSpaceDE/>
              <w:autoSpaceDN/>
              <w:bidi w:val="0"/>
              <w:adjustRightInd/>
              <w:snapToGrid/>
              <w:spacing w:beforeLines="0" w:afterLines="0" w:line="260" w:lineRule="exact"/>
              <w:jc w:val="center"/>
              <w:textAlignment w:val="auto"/>
              <w:rPr>
                <w:rFonts w:hint="eastAsia" w:ascii="方正仿宋简体" w:hAnsi="方正仿宋简体" w:eastAsia="方正仿宋简体" w:cs="方正仿宋简体"/>
                <w:b w:val="0"/>
                <w:bCs/>
                <w:color w:val="000000"/>
                <w:sz w:val="24"/>
                <w:szCs w:val="24"/>
              </w:rPr>
            </w:pPr>
            <w:r>
              <w:rPr>
                <w:rFonts w:hint="eastAsia" w:ascii="方正仿宋简体" w:hAnsi="方正仿宋简体" w:eastAsia="方正仿宋简体" w:cs="方正仿宋简体"/>
                <w:b w:val="0"/>
                <w:bCs/>
                <w:color w:val="000000"/>
                <w:sz w:val="24"/>
                <w:szCs w:val="24"/>
              </w:rPr>
              <w:t>专业要求</w:t>
            </w:r>
          </w:p>
        </w:tc>
        <w:tc>
          <w:tcPr>
            <w:tcW w:w="5588"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60" w:lineRule="exact"/>
              <w:jc w:val="center"/>
              <w:textAlignment w:val="auto"/>
              <w:rPr>
                <w:rFonts w:hint="eastAsia" w:ascii="方正仿宋简体" w:hAnsi="方正仿宋简体" w:eastAsia="方正仿宋简体" w:cs="方正仿宋简体"/>
                <w:b w:val="0"/>
                <w:bCs/>
                <w:color w:val="000000"/>
                <w:sz w:val="24"/>
                <w:szCs w:val="24"/>
              </w:rPr>
            </w:pPr>
            <w:r>
              <w:rPr>
                <w:rFonts w:hint="eastAsia" w:ascii="方正仿宋简体" w:hAnsi="方正仿宋简体" w:eastAsia="方正仿宋简体" w:cs="方正仿宋简体"/>
                <w:b w:val="0"/>
                <w:bCs/>
                <w:color w:val="000000"/>
                <w:sz w:val="24"/>
                <w:szCs w:val="24"/>
              </w:rPr>
              <w:t>其它要求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第一中学</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高中化学教师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本科</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高中化学</w:t>
            </w:r>
          </w:p>
        </w:tc>
        <w:tc>
          <w:tcPr>
            <w:tcW w:w="5588"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rPr>
              <w:t>教育部直属师范大学2020届湖南籍公费师范毕业生</w:t>
            </w:r>
            <w:r>
              <w:rPr>
                <w:rFonts w:hint="eastAsia" w:ascii="方正仿宋简体" w:hAnsi="方正仿宋简体" w:eastAsia="方正仿宋简体" w:cs="方正仿宋简体"/>
                <w:color w:val="000000"/>
                <w:sz w:val="24"/>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高中物理教师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高中物理</w:t>
            </w:r>
          </w:p>
        </w:tc>
        <w:tc>
          <w:tcPr>
            <w:tcW w:w="5588"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第八中学</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高中数学教师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2</w:t>
            </w:r>
          </w:p>
        </w:tc>
        <w:tc>
          <w:tcPr>
            <w:tcW w:w="643"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本科</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高中数学</w:t>
            </w:r>
          </w:p>
        </w:tc>
        <w:tc>
          <w:tcPr>
            <w:tcW w:w="5588"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rPr>
              <w:t>教育部直属师范大学2020届湖南籍公费师范毕业生</w:t>
            </w:r>
            <w:r>
              <w:rPr>
                <w:rFonts w:hint="eastAsia" w:ascii="方正仿宋简体" w:hAnsi="方正仿宋简体" w:eastAsia="方正仿宋简体" w:cs="方正仿宋简体"/>
                <w:color w:val="000000"/>
                <w:sz w:val="24"/>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高中英语教师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高中英语</w:t>
            </w:r>
          </w:p>
        </w:tc>
        <w:tc>
          <w:tcPr>
            <w:tcW w:w="5588"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高中生物教师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高中生物</w:t>
            </w:r>
          </w:p>
        </w:tc>
        <w:tc>
          <w:tcPr>
            <w:tcW w:w="5588"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1.普通全日制</w:t>
            </w:r>
            <w:r>
              <w:rPr>
                <w:rFonts w:hint="eastAsia" w:ascii="方正仿宋简体" w:hAnsi="方正仿宋简体" w:eastAsia="方正仿宋简体" w:cs="方正仿宋简体"/>
                <w:color w:val="000000"/>
                <w:sz w:val="24"/>
                <w:szCs w:val="24"/>
              </w:rPr>
              <w:t>师范院校2020</w:t>
            </w:r>
            <w:r>
              <w:rPr>
                <w:rFonts w:hint="eastAsia" w:ascii="方正仿宋简体" w:hAnsi="方正仿宋简体" w:eastAsia="方正仿宋简体" w:cs="方正仿宋简体"/>
                <w:color w:val="000000"/>
                <w:sz w:val="24"/>
                <w:szCs w:val="24"/>
                <w:lang w:eastAsia="zh-CN"/>
              </w:rPr>
              <w:t>届毕业全日制硕士</w:t>
            </w:r>
            <w:r>
              <w:rPr>
                <w:rFonts w:hint="eastAsia" w:ascii="方正仿宋简体" w:hAnsi="方正仿宋简体" w:eastAsia="方正仿宋简体" w:cs="方正仿宋简体"/>
                <w:color w:val="000000"/>
                <w:sz w:val="24"/>
                <w:szCs w:val="24"/>
              </w:rPr>
              <w:t>研究生</w:t>
            </w:r>
            <w:r>
              <w:rPr>
                <w:rFonts w:hint="eastAsia" w:ascii="方正仿宋简体" w:hAnsi="方正仿宋简体" w:eastAsia="方正仿宋简体" w:cs="方正仿宋简体"/>
                <w:color w:val="000000"/>
                <w:sz w:val="24"/>
                <w:szCs w:val="24"/>
                <w:lang w:eastAsia="zh-CN"/>
              </w:rPr>
              <w:t>；</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2.</w:t>
            </w:r>
            <w:r>
              <w:rPr>
                <w:rFonts w:hint="eastAsia" w:ascii="方正仿宋简体" w:hAnsi="方正仿宋简体" w:eastAsia="方正仿宋简体" w:cs="方正仿宋简体"/>
                <w:color w:val="000000"/>
                <w:sz w:val="24"/>
                <w:szCs w:val="24"/>
              </w:rPr>
              <w:t>国家“双一流建设”师范院校师范类</w:t>
            </w:r>
            <w:r>
              <w:rPr>
                <w:rFonts w:hint="eastAsia" w:ascii="方正仿宋简体" w:hAnsi="方正仿宋简体" w:eastAsia="方正仿宋简体" w:cs="方正仿宋简体"/>
                <w:color w:val="000000"/>
                <w:sz w:val="24"/>
                <w:szCs w:val="24"/>
                <w:lang w:val="en-US" w:eastAsia="zh-CN"/>
              </w:rPr>
              <w:t>2020届</w:t>
            </w:r>
            <w:r>
              <w:rPr>
                <w:rFonts w:hint="eastAsia" w:ascii="方正仿宋简体" w:hAnsi="方正仿宋简体" w:eastAsia="方正仿宋简体" w:cs="方正仿宋简体"/>
                <w:color w:val="000000"/>
                <w:sz w:val="24"/>
                <w:szCs w:val="24"/>
              </w:rPr>
              <w:t>毕业</w:t>
            </w:r>
            <w:r>
              <w:rPr>
                <w:rFonts w:hint="eastAsia" w:ascii="方正仿宋简体" w:hAnsi="方正仿宋简体" w:eastAsia="方正仿宋简体" w:cs="方正仿宋简体"/>
                <w:color w:val="000000"/>
                <w:sz w:val="24"/>
                <w:szCs w:val="24"/>
                <w:lang w:val="en-US" w:eastAsia="zh-CN"/>
              </w:rPr>
              <w:t>全日制本科</w:t>
            </w:r>
            <w:r>
              <w:rPr>
                <w:rFonts w:hint="eastAsia" w:ascii="方正仿宋简体" w:hAnsi="方正仿宋简体" w:eastAsia="方正仿宋简体" w:cs="方正仿宋简体"/>
                <w:color w:val="000000"/>
                <w:sz w:val="24"/>
                <w:szCs w:val="24"/>
              </w:rPr>
              <w:t>生；</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3.</w:t>
            </w:r>
            <w:r>
              <w:rPr>
                <w:rFonts w:hint="eastAsia" w:ascii="方正仿宋简体" w:hAnsi="方正仿宋简体" w:eastAsia="方正仿宋简体" w:cs="方正仿宋简体"/>
                <w:color w:val="000000"/>
                <w:sz w:val="24"/>
                <w:szCs w:val="24"/>
              </w:rPr>
              <w:t>师范院校（含综合性大学师范院系）师范类2020</w:t>
            </w:r>
            <w:r>
              <w:rPr>
                <w:rFonts w:hint="eastAsia" w:ascii="方正仿宋简体" w:hAnsi="方正仿宋简体" w:eastAsia="方正仿宋简体" w:cs="方正仿宋简体"/>
                <w:color w:val="000000"/>
                <w:sz w:val="24"/>
                <w:szCs w:val="24"/>
                <w:lang w:eastAsia="zh-CN"/>
              </w:rPr>
              <w:t>届毕业</w:t>
            </w:r>
            <w:r>
              <w:rPr>
                <w:rFonts w:hint="eastAsia" w:ascii="方正仿宋简体" w:hAnsi="方正仿宋简体" w:eastAsia="方正仿宋简体" w:cs="方正仿宋简体"/>
                <w:color w:val="000000"/>
                <w:sz w:val="24"/>
                <w:szCs w:val="24"/>
              </w:rPr>
              <w:t>优秀全日制本科生。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高中政治教师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2</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高中政治</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高中历史教师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高中历史</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高中地理教师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高中地理</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铁一中学</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高中物理教师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本科</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高中物理</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高中政治教师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高中政治</w:t>
            </w:r>
          </w:p>
        </w:tc>
        <w:tc>
          <w:tcPr>
            <w:tcW w:w="5588"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衡钢中学</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高中生物教师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2</w:t>
            </w:r>
          </w:p>
        </w:tc>
        <w:tc>
          <w:tcPr>
            <w:tcW w:w="643"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本科</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高中生物</w:t>
            </w:r>
          </w:p>
        </w:tc>
        <w:tc>
          <w:tcPr>
            <w:tcW w:w="5588"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1.普通全日制</w:t>
            </w:r>
            <w:r>
              <w:rPr>
                <w:rFonts w:hint="eastAsia" w:ascii="方正仿宋简体" w:hAnsi="方正仿宋简体" w:eastAsia="方正仿宋简体" w:cs="方正仿宋简体"/>
                <w:color w:val="000000"/>
                <w:sz w:val="24"/>
                <w:szCs w:val="24"/>
              </w:rPr>
              <w:t>师范院校</w:t>
            </w:r>
            <w:r>
              <w:rPr>
                <w:rFonts w:hint="eastAsia" w:ascii="方正仿宋简体" w:hAnsi="方正仿宋简体" w:eastAsia="方正仿宋简体" w:cs="方正仿宋简体"/>
                <w:color w:val="000000"/>
                <w:sz w:val="24"/>
                <w:szCs w:val="24"/>
                <w:lang w:eastAsia="zh-CN"/>
              </w:rPr>
              <w:t>应往届全日制硕士</w:t>
            </w:r>
            <w:r>
              <w:rPr>
                <w:rFonts w:hint="eastAsia" w:ascii="方正仿宋简体" w:hAnsi="方正仿宋简体" w:eastAsia="方正仿宋简体" w:cs="方正仿宋简体"/>
                <w:color w:val="000000"/>
                <w:sz w:val="24"/>
                <w:szCs w:val="24"/>
              </w:rPr>
              <w:t>研究生</w:t>
            </w:r>
            <w:r>
              <w:rPr>
                <w:rFonts w:hint="eastAsia" w:ascii="方正仿宋简体" w:hAnsi="方正仿宋简体" w:eastAsia="方正仿宋简体" w:cs="方正仿宋简体"/>
                <w:color w:val="000000"/>
                <w:sz w:val="24"/>
                <w:szCs w:val="24"/>
                <w:lang w:eastAsia="zh-CN"/>
              </w:rPr>
              <w:t>；</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2.</w:t>
            </w:r>
            <w:r>
              <w:rPr>
                <w:rFonts w:hint="eastAsia" w:ascii="方正仿宋简体" w:hAnsi="方正仿宋简体" w:eastAsia="方正仿宋简体" w:cs="方正仿宋简体"/>
                <w:color w:val="000000"/>
                <w:sz w:val="24"/>
                <w:szCs w:val="24"/>
              </w:rPr>
              <w:t>国家“双一流建设”师范院校师范类</w:t>
            </w:r>
            <w:r>
              <w:rPr>
                <w:rFonts w:hint="eastAsia" w:ascii="方正仿宋简体" w:hAnsi="方正仿宋简体" w:eastAsia="方正仿宋简体" w:cs="方正仿宋简体"/>
                <w:color w:val="000000"/>
                <w:sz w:val="24"/>
                <w:szCs w:val="24"/>
                <w:lang w:val="en-US" w:eastAsia="zh-CN"/>
              </w:rPr>
              <w:t>应往届全日制本科</w:t>
            </w:r>
            <w:r>
              <w:rPr>
                <w:rFonts w:hint="eastAsia" w:ascii="方正仿宋简体" w:hAnsi="方正仿宋简体" w:eastAsia="方正仿宋简体" w:cs="方正仿宋简体"/>
                <w:color w:val="000000"/>
                <w:sz w:val="24"/>
                <w:szCs w:val="24"/>
              </w:rPr>
              <w:t>生；</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3.</w:t>
            </w:r>
            <w:r>
              <w:rPr>
                <w:rFonts w:hint="eastAsia" w:ascii="方正仿宋简体" w:hAnsi="方正仿宋简体" w:eastAsia="方正仿宋简体" w:cs="方正仿宋简体"/>
                <w:color w:val="000000"/>
                <w:sz w:val="24"/>
                <w:szCs w:val="24"/>
              </w:rPr>
              <w:t>师范院校（含综合性大学师范院系）师范类</w:t>
            </w:r>
            <w:r>
              <w:rPr>
                <w:rFonts w:hint="eastAsia" w:ascii="方正仿宋简体" w:hAnsi="方正仿宋简体" w:eastAsia="方正仿宋简体" w:cs="方正仿宋简体"/>
                <w:color w:val="000000"/>
                <w:sz w:val="24"/>
                <w:szCs w:val="24"/>
                <w:lang w:eastAsia="zh-CN"/>
              </w:rPr>
              <w:t>应往届</w:t>
            </w:r>
            <w:r>
              <w:rPr>
                <w:rFonts w:hint="eastAsia" w:ascii="方正仿宋简体" w:hAnsi="方正仿宋简体" w:eastAsia="方正仿宋简体" w:cs="方正仿宋简体"/>
                <w:color w:val="000000"/>
                <w:sz w:val="24"/>
                <w:szCs w:val="24"/>
              </w:rPr>
              <w:t>优秀全日制本科生。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高中历史教师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高中历史</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高中地理教师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高中地理</w:t>
            </w:r>
          </w:p>
        </w:tc>
        <w:tc>
          <w:tcPr>
            <w:tcW w:w="5588"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4" w:hRule="atLeast"/>
          <w:jc w:val="center"/>
        </w:trPr>
        <w:tc>
          <w:tcPr>
            <w:tcW w:w="1009"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高中体育教师</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(羽毛球方向）</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高中体育</w:t>
            </w:r>
          </w:p>
        </w:tc>
        <w:tc>
          <w:tcPr>
            <w:tcW w:w="558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1.</w:t>
            </w:r>
            <w:r>
              <w:rPr>
                <w:rFonts w:hint="eastAsia" w:ascii="方正仿宋简体" w:hAnsi="方正仿宋简体" w:eastAsia="方正仿宋简体" w:cs="方正仿宋简体"/>
                <w:color w:val="000000"/>
                <w:sz w:val="24"/>
                <w:szCs w:val="24"/>
              </w:rPr>
              <w:t>国家级体育比赛羽毛球个人项目获奖者；</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2.</w:t>
            </w:r>
            <w:r>
              <w:rPr>
                <w:rFonts w:hint="eastAsia" w:ascii="方正仿宋简体" w:hAnsi="方正仿宋简体" w:eastAsia="方正仿宋简体" w:cs="方正仿宋简体"/>
                <w:color w:val="000000"/>
                <w:sz w:val="24"/>
                <w:szCs w:val="24"/>
              </w:rPr>
              <w:t>省级重大体育比赛羽毛球个人项目前6名获奖者。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华新实验</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中学</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初中语文教师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本科</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初中语文</w:t>
            </w:r>
          </w:p>
        </w:tc>
        <w:tc>
          <w:tcPr>
            <w:tcW w:w="5588"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1.普通全日制</w:t>
            </w:r>
            <w:r>
              <w:rPr>
                <w:rFonts w:hint="eastAsia" w:ascii="方正仿宋简体" w:hAnsi="方正仿宋简体" w:eastAsia="方正仿宋简体" w:cs="方正仿宋简体"/>
                <w:color w:val="000000"/>
                <w:sz w:val="24"/>
                <w:szCs w:val="24"/>
              </w:rPr>
              <w:t>师范院校</w:t>
            </w:r>
            <w:r>
              <w:rPr>
                <w:rFonts w:hint="eastAsia" w:ascii="方正仿宋简体" w:hAnsi="方正仿宋简体" w:eastAsia="方正仿宋简体" w:cs="方正仿宋简体"/>
                <w:color w:val="000000"/>
                <w:sz w:val="24"/>
                <w:szCs w:val="24"/>
                <w:lang w:eastAsia="zh-CN"/>
              </w:rPr>
              <w:t>应往届全日制硕士</w:t>
            </w:r>
            <w:r>
              <w:rPr>
                <w:rFonts w:hint="eastAsia" w:ascii="方正仿宋简体" w:hAnsi="方正仿宋简体" w:eastAsia="方正仿宋简体" w:cs="方正仿宋简体"/>
                <w:color w:val="000000"/>
                <w:sz w:val="24"/>
                <w:szCs w:val="24"/>
              </w:rPr>
              <w:t>研究生</w:t>
            </w:r>
            <w:r>
              <w:rPr>
                <w:rFonts w:hint="eastAsia" w:ascii="方正仿宋简体" w:hAnsi="方正仿宋简体" w:eastAsia="方正仿宋简体" w:cs="方正仿宋简体"/>
                <w:color w:val="000000"/>
                <w:sz w:val="24"/>
                <w:szCs w:val="24"/>
                <w:lang w:eastAsia="zh-CN"/>
              </w:rPr>
              <w:t>；</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2.</w:t>
            </w:r>
            <w:r>
              <w:rPr>
                <w:rFonts w:hint="eastAsia" w:ascii="方正仿宋简体" w:hAnsi="方正仿宋简体" w:eastAsia="方正仿宋简体" w:cs="方正仿宋简体"/>
                <w:color w:val="000000"/>
                <w:sz w:val="24"/>
                <w:szCs w:val="24"/>
              </w:rPr>
              <w:t>国家“双一流建设”师范院校师范类</w:t>
            </w:r>
            <w:r>
              <w:rPr>
                <w:rFonts w:hint="eastAsia" w:ascii="方正仿宋简体" w:hAnsi="方正仿宋简体" w:eastAsia="方正仿宋简体" w:cs="方正仿宋简体"/>
                <w:color w:val="000000"/>
                <w:sz w:val="24"/>
                <w:szCs w:val="24"/>
                <w:lang w:val="en-US" w:eastAsia="zh-CN"/>
              </w:rPr>
              <w:t>应往届全日制本科</w:t>
            </w:r>
            <w:r>
              <w:rPr>
                <w:rFonts w:hint="eastAsia" w:ascii="方正仿宋简体" w:hAnsi="方正仿宋简体" w:eastAsia="方正仿宋简体" w:cs="方正仿宋简体"/>
                <w:color w:val="000000"/>
                <w:sz w:val="24"/>
                <w:szCs w:val="24"/>
              </w:rPr>
              <w:t>生；</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w:t>
            </w:r>
            <w:r>
              <w:rPr>
                <w:rFonts w:hint="eastAsia" w:ascii="方正仿宋简体" w:hAnsi="方正仿宋简体" w:eastAsia="方正仿宋简体" w:cs="方正仿宋简体"/>
                <w:color w:val="000000"/>
                <w:sz w:val="24"/>
                <w:szCs w:val="24"/>
              </w:rPr>
              <w:t>师范院校（含综合性大学师范院系）师范类</w:t>
            </w:r>
            <w:r>
              <w:rPr>
                <w:rFonts w:hint="eastAsia" w:ascii="方正仿宋简体" w:hAnsi="方正仿宋简体" w:eastAsia="方正仿宋简体" w:cs="方正仿宋简体"/>
                <w:color w:val="000000"/>
                <w:sz w:val="24"/>
                <w:szCs w:val="24"/>
                <w:lang w:eastAsia="zh-CN"/>
              </w:rPr>
              <w:t>应往届</w:t>
            </w:r>
            <w:r>
              <w:rPr>
                <w:rFonts w:hint="eastAsia" w:ascii="方正仿宋简体" w:hAnsi="方正仿宋简体" w:eastAsia="方正仿宋简体" w:cs="方正仿宋简体"/>
                <w:color w:val="000000"/>
                <w:sz w:val="24"/>
                <w:szCs w:val="24"/>
              </w:rPr>
              <w:t>优秀全日制本科生</w:t>
            </w:r>
            <w:r>
              <w:rPr>
                <w:rFonts w:hint="eastAsia" w:ascii="方正仿宋简体" w:hAnsi="方正仿宋简体" w:eastAsia="方正仿宋简体" w:cs="方正仿宋简体"/>
                <w:color w:val="000000"/>
                <w:sz w:val="24"/>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初中英语教师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初中英语</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初中信息技术教师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初中信息</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技术</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第十七中学</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初中语文教师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本科</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初中语文</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初中数学教师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初中数学</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初中英语教师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初中英语</w:t>
            </w:r>
          </w:p>
        </w:tc>
        <w:tc>
          <w:tcPr>
            <w:tcW w:w="5588"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9" w:hRule="atLeast"/>
          <w:jc w:val="center"/>
        </w:trPr>
        <w:tc>
          <w:tcPr>
            <w:tcW w:w="1009"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第九中学</w:t>
            </w: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初中语文教师</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1"/>
                <w:szCs w:val="21"/>
              </w:rPr>
              <w:t>（兼广播站播音员）</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本科</w:t>
            </w:r>
          </w:p>
        </w:tc>
        <w:tc>
          <w:tcPr>
            <w:tcW w:w="1141"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初中语文</w:t>
            </w:r>
          </w:p>
        </w:tc>
        <w:tc>
          <w:tcPr>
            <w:tcW w:w="558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普通话水平达到一级乙等，且具备下列之一条件：</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1.普通全日制</w:t>
            </w:r>
            <w:r>
              <w:rPr>
                <w:rFonts w:hint="eastAsia" w:ascii="方正仿宋简体" w:hAnsi="方正仿宋简体" w:eastAsia="方正仿宋简体" w:cs="方正仿宋简体"/>
                <w:color w:val="000000"/>
                <w:sz w:val="24"/>
                <w:szCs w:val="24"/>
              </w:rPr>
              <w:t>师范院校</w:t>
            </w:r>
            <w:r>
              <w:rPr>
                <w:rFonts w:hint="eastAsia" w:ascii="方正仿宋简体" w:hAnsi="方正仿宋简体" w:eastAsia="方正仿宋简体" w:cs="方正仿宋简体"/>
                <w:color w:val="000000"/>
                <w:sz w:val="24"/>
                <w:szCs w:val="24"/>
                <w:lang w:eastAsia="zh-CN"/>
              </w:rPr>
              <w:t>应往届全日制硕士</w:t>
            </w:r>
            <w:r>
              <w:rPr>
                <w:rFonts w:hint="eastAsia" w:ascii="方正仿宋简体" w:hAnsi="方正仿宋简体" w:eastAsia="方正仿宋简体" w:cs="方正仿宋简体"/>
                <w:color w:val="000000"/>
                <w:sz w:val="24"/>
                <w:szCs w:val="24"/>
              </w:rPr>
              <w:t>研究生</w:t>
            </w:r>
            <w:r>
              <w:rPr>
                <w:rFonts w:hint="eastAsia" w:ascii="方正仿宋简体" w:hAnsi="方正仿宋简体" w:eastAsia="方正仿宋简体" w:cs="方正仿宋简体"/>
                <w:color w:val="000000"/>
                <w:sz w:val="24"/>
                <w:szCs w:val="24"/>
                <w:lang w:eastAsia="zh-CN"/>
              </w:rPr>
              <w:t>；</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2.</w:t>
            </w:r>
            <w:r>
              <w:rPr>
                <w:rFonts w:hint="eastAsia" w:ascii="方正仿宋简体" w:hAnsi="方正仿宋简体" w:eastAsia="方正仿宋简体" w:cs="方正仿宋简体"/>
                <w:color w:val="000000"/>
                <w:sz w:val="24"/>
                <w:szCs w:val="24"/>
              </w:rPr>
              <w:t>国家“双一流建设”师范院校师范类</w:t>
            </w:r>
            <w:r>
              <w:rPr>
                <w:rFonts w:hint="eastAsia" w:ascii="方正仿宋简体" w:hAnsi="方正仿宋简体" w:eastAsia="方正仿宋简体" w:cs="方正仿宋简体"/>
                <w:color w:val="000000"/>
                <w:sz w:val="24"/>
                <w:szCs w:val="24"/>
                <w:lang w:val="en-US" w:eastAsia="zh-CN"/>
              </w:rPr>
              <w:t>应往届全日制本科</w:t>
            </w:r>
            <w:r>
              <w:rPr>
                <w:rFonts w:hint="eastAsia" w:ascii="方正仿宋简体" w:hAnsi="方正仿宋简体" w:eastAsia="方正仿宋简体" w:cs="方正仿宋简体"/>
                <w:color w:val="000000"/>
                <w:sz w:val="24"/>
                <w:szCs w:val="24"/>
              </w:rPr>
              <w:t>生；</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3.</w:t>
            </w:r>
            <w:r>
              <w:rPr>
                <w:rFonts w:hint="eastAsia" w:ascii="方正仿宋简体" w:hAnsi="方正仿宋简体" w:eastAsia="方正仿宋简体" w:cs="方正仿宋简体"/>
                <w:color w:val="000000"/>
                <w:sz w:val="24"/>
                <w:szCs w:val="24"/>
              </w:rPr>
              <w:t>师范院校（含综合性大学师范院系）师范类</w:t>
            </w:r>
            <w:r>
              <w:rPr>
                <w:rFonts w:hint="eastAsia" w:ascii="方正仿宋简体" w:hAnsi="方正仿宋简体" w:eastAsia="方正仿宋简体" w:cs="方正仿宋简体"/>
                <w:color w:val="000000"/>
                <w:sz w:val="24"/>
                <w:szCs w:val="24"/>
                <w:lang w:eastAsia="zh-CN"/>
              </w:rPr>
              <w:t>应往届</w:t>
            </w:r>
            <w:r>
              <w:rPr>
                <w:rFonts w:hint="eastAsia" w:ascii="方正仿宋简体" w:hAnsi="方正仿宋简体" w:eastAsia="方正仿宋简体" w:cs="方正仿宋简体"/>
                <w:color w:val="000000"/>
                <w:sz w:val="24"/>
                <w:szCs w:val="24"/>
              </w:rPr>
              <w:t>优秀全日制本科生</w:t>
            </w:r>
            <w:r>
              <w:rPr>
                <w:rFonts w:hint="eastAsia" w:ascii="方正仿宋简体" w:hAnsi="方正仿宋简体" w:eastAsia="方正仿宋简体" w:cs="方正仿宋简体"/>
                <w:color w:val="000000"/>
                <w:sz w:val="24"/>
                <w:szCs w:val="24"/>
                <w:lang w:val="en-US" w:eastAsia="zh-CN"/>
              </w:rPr>
              <w:t xml:space="preserve"> </w:t>
            </w:r>
            <w:r>
              <w:rPr>
                <w:rFonts w:hint="eastAsia" w:ascii="方正仿宋简体" w:hAnsi="方正仿宋简体" w:eastAsia="方正仿宋简体" w:cs="方正仿宋简体"/>
                <w:color w:val="000000"/>
                <w:sz w:val="24"/>
                <w:szCs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初中语文教师</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1"/>
                <w:szCs w:val="21"/>
              </w:rPr>
              <w:t>（兼新闻宣传干事）</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5588" w:type="dxa"/>
            <w:tcBorders>
              <w:top w:val="single" w:color="auto" w:sz="6" w:space="0"/>
              <w:left w:val="single" w:color="auto" w:sz="6" w:space="0"/>
              <w:bottom w:val="nil"/>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在省级</w:t>
            </w:r>
            <w:r>
              <w:rPr>
                <w:rFonts w:hint="eastAsia" w:ascii="方正仿宋简体" w:hAnsi="方正仿宋简体" w:eastAsia="方正仿宋简体" w:cs="方正仿宋简体"/>
                <w:color w:val="000000"/>
                <w:sz w:val="24"/>
                <w:szCs w:val="24"/>
                <w:lang w:eastAsia="zh-CN"/>
              </w:rPr>
              <w:t>及</w:t>
            </w:r>
            <w:r>
              <w:rPr>
                <w:rFonts w:hint="eastAsia" w:ascii="方正仿宋简体" w:hAnsi="方正仿宋简体" w:eastAsia="方正仿宋简体" w:cs="方正仿宋简体"/>
                <w:color w:val="000000"/>
                <w:sz w:val="24"/>
                <w:szCs w:val="24"/>
              </w:rPr>
              <w:t>以上新闻报刊公开发表1篇及以上新闻作品，且具备下列之一条件：</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1.普通全日制</w:t>
            </w:r>
            <w:r>
              <w:rPr>
                <w:rFonts w:hint="eastAsia" w:ascii="方正仿宋简体" w:hAnsi="方正仿宋简体" w:eastAsia="方正仿宋简体" w:cs="方正仿宋简体"/>
                <w:color w:val="000000"/>
                <w:sz w:val="24"/>
                <w:szCs w:val="24"/>
              </w:rPr>
              <w:t>师范院校</w:t>
            </w:r>
            <w:r>
              <w:rPr>
                <w:rFonts w:hint="eastAsia" w:ascii="方正仿宋简体" w:hAnsi="方正仿宋简体" w:eastAsia="方正仿宋简体" w:cs="方正仿宋简体"/>
                <w:color w:val="000000"/>
                <w:sz w:val="24"/>
                <w:szCs w:val="24"/>
                <w:lang w:eastAsia="zh-CN"/>
              </w:rPr>
              <w:t>应往届全日制硕士</w:t>
            </w:r>
            <w:r>
              <w:rPr>
                <w:rFonts w:hint="eastAsia" w:ascii="方正仿宋简体" w:hAnsi="方正仿宋简体" w:eastAsia="方正仿宋简体" w:cs="方正仿宋简体"/>
                <w:color w:val="000000"/>
                <w:sz w:val="24"/>
                <w:szCs w:val="24"/>
              </w:rPr>
              <w:t>研究生</w:t>
            </w:r>
            <w:r>
              <w:rPr>
                <w:rFonts w:hint="eastAsia" w:ascii="方正仿宋简体" w:hAnsi="方正仿宋简体" w:eastAsia="方正仿宋简体" w:cs="方正仿宋简体"/>
                <w:color w:val="000000"/>
                <w:sz w:val="24"/>
                <w:szCs w:val="24"/>
                <w:lang w:eastAsia="zh-CN"/>
              </w:rPr>
              <w:t>；</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2.</w:t>
            </w:r>
            <w:r>
              <w:rPr>
                <w:rFonts w:hint="eastAsia" w:ascii="方正仿宋简体" w:hAnsi="方正仿宋简体" w:eastAsia="方正仿宋简体" w:cs="方正仿宋简体"/>
                <w:color w:val="000000"/>
                <w:sz w:val="24"/>
                <w:szCs w:val="24"/>
              </w:rPr>
              <w:t>国家“双一流建设”师范院校师范类</w:t>
            </w:r>
            <w:r>
              <w:rPr>
                <w:rFonts w:hint="eastAsia" w:ascii="方正仿宋简体" w:hAnsi="方正仿宋简体" w:eastAsia="方正仿宋简体" w:cs="方正仿宋简体"/>
                <w:color w:val="000000"/>
                <w:sz w:val="24"/>
                <w:szCs w:val="24"/>
                <w:lang w:val="en-US" w:eastAsia="zh-CN"/>
              </w:rPr>
              <w:t>应往届全日制本科</w:t>
            </w:r>
            <w:r>
              <w:rPr>
                <w:rFonts w:hint="eastAsia" w:ascii="方正仿宋简体" w:hAnsi="方正仿宋简体" w:eastAsia="方正仿宋简体" w:cs="方正仿宋简体"/>
                <w:color w:val="000000"/>
                <w:sz w:val="24"/>
                <w:szCs w:val="24"/>
              </w:rPr>
              <w:t>生；</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w:t>
            </w:r>
            <w:r>
              <w:rPr>
                <w:rFonts w:hint="eastAsia" w:ascii="方正仿宋简体" w:hAnsi="方正仿宋简体" w:eastAsia="方正仿宋简体" w:cs="方正仿宋简体"/>
                <w:color w:val="000000"/>
                <w:sz w:val="24"/>
                <w:szCs w:val="24"/>
              </w:rPr>
              <w:t>师范院校（含综合性大学师范院系）师范类</w:t>
            </w:r>
            <w:r>
              <w:rPr>
                <w:rFonts w:hint="eastAsia" w:ascii="方正仿宋简体" w:hAnsi="方正仿宋简体" w:eastAsia="方正仿宋简体" w:cs="方正仿宋简体"/>
                <w:color w:val="000000"/>
                <w:sz w:val="24"/>
                <w:szCs w:val="24"/>
                <w:lang w:eastAsia="zh-CN"/>
              </w:rPr>
              <w:t>应往届</w:t>
            </w:r>
            <w:r>
              <w:rPr>
                <w:rFonts w:hint="eastAsia" w:ascii="方正仿宋简体" w:hAnsi="方正仿宋简体" w:eastAsia="方正仿宋简体" w:cs="方正仿宋简体"/>
                <w:color w:val="000000"/>
                <w:sz w:val="24"/>
                <w:szCs w:val="24"/>
              </w:rPr>
              <w:t>优秀全日制本科生</w:t>
            </w:r>
            <w:r>
              <w:rPr>
                <w:rFonts w:hint="eastAsia" w:ascii="方正仿宋简体" w:hAnsi="方正仿宋简体" w:eastAsia="方正仿宋简体" w:cs="方正仿宋简体"/>
                <w:color w:val="000000"/>
                <w:sz w:val="24"/>
                <w:szCs w:val="24"/>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初中语文教师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2</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5588" w:type="dxa"/>
            <w:vMerge w:val="restart"/>
            <w:tcBorders>
              <w:top w:val="single" w:color="auto" w:sz="6" w:space="0"/>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1.普通全日制</w:t>
            </w:r>
            <w:r>
              <w:rPr>
                <w:rFonts w:hint="eastAsia" w:ascii="方正仿宋简体" w:hAnsi="方正仿宋简体" w:eastAsia="方正仿宋简体" w:cs="方正仿宋简体"/>
                <w:color w:val="000000"/>
                <w:sz w:val="24"/>
                <w:szCs w:val="24"/>
              </w:rPr>
              <w:t>师范院校</w:t>
            </w:r>
            <w:r>
              <w:rPr>
                <w:rFonts w:hint="eastAsia" w:ascii="方正仿宋简体" w:hAnsi="方正仿宋简体" w:eastAsia="方正仿宋简体" w:cs="方正仿宋简体"/>
                <w:color w:val="000000"/>
                <w:sz w:val="24"/>
                <w:szCs w:val="24"/>
                <w:lang w:eastAsia="zh-CN"/>
              </w:rPr>
              <w:t>应往届全日制硕士</w:t>
            </w:r>
            <w:r>
              <w:rPr>
                <w:rFonts w:hint="eastAsia" w:ascii="方正仿宋简体" w:hAnsi="方正仿宋简体" w:eastAsia="方正仿宋简体" w:cs="方正仿宋简体"/>
                <w:color w:val="000000"/>
                <w:sz w:val="24"/>
                <w:szCs w:val="24"/>
              </w:rPr>
              <w:t>研究生</w:t>
            </w:r>
            <w:r>
              <w:rPr>
                <w:rFonts w:hint="eastAsia" w:ascii="方正仿宋简体" w:hAnsi="方正仿宋简体" w:eastAsia="方正仿宋简体" w:cs="方正仿宋简体"/>
                <w:color w:val="000000"/>
                <w:sz w:val="24"/>
                <w:szCs w:val="24"/>
                <w:lang w:eastAsia="zh-CN"/>
              </w:rPr>
              <w:t>；</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2.</w:t>
            </w:r>
            <w:r>
              <w:rPr>
                <w:rFonts w:hint="eastAsia" w:ascii="方正仿宋简体" w:hAnsi="方正仿宋简体" w:eastAsia="方正仿宋简体" w:cs="方正仿宋简体"/>
                <w:color w:val="000000"/>
                <w:sz w:val="24"/>
                <w:szCs w:val="24"/>
              </w:rPr>
              <w:t>国家“双一流建设”师范院校师范类</w:t>
            </w:r>
            <w:r>
              <w:rPr>
                <w:rFonts w:hint="eastAsia" w:ascii="方正仿宋简体" w:hAnsi="方正仿宋简体" w:eastAsia="方正仿宋简体" w:cs="方正仿宋简体"/>
                <w:color w:val="000000"/>
                <w:sz w:val="24"/>
                <w:szCs w:val="24"/>
                <w:lang w:val="en-US" w:eastAsia="zh-CN"/>
              </w:rPr>
              <w:t>应往届全日制本科</w:t>
            </w:r>
            <w:r>
              <w:rPr>
                <w:rFonts w:hint="eastAsia" w:ascii="方正仿宋简体" w:hAnsi="方正仿宋简体" w:eastAsia="方正仿宋简体" w:cs="方正仿宋简体"/>
                <w:color w:val="000000"/>
                <w:sz w:val="24"/>
                <w:szCs w:val="24"/>
              </w:rPr>
              <w:t>生；</w:t>
            </w:r>
          </w:p>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w:t>
            </w:r>
            <w:r>
              <w:rPr>
                <w:rFonts w:hint="eastAsia" w:ascii="方正仿宋简体" w:hAnsi="方正仿宋简体" w:eastAsia="方正仿宋简体" w:cs="方正仿宋简体"/>
                <w:color w:val="000000"/>
                <w:sz w:val="24"/>
                <w:szCs w:val="24"/>
              </w:rPr>
              <w:t>师范院校（含综合性大学师范院系）师范类</w:t>
            </w:r>
            <w:r>
              <w:rPr>
                <w:rFonts w:hint="eastAsia" w:ascii="方正仿宋简体" w:hAnsi="方正仿宋简体" w:eastAsia="方正仿宋简体" w:cs="方正仿宋简体"/>
                <w:color w:val="000000"/>
                <w:sz w:val="24"/>
                <w:szCs w:val="24"/>
                <w:lang w:eastAsia="zh-CN"/>
              </w:rPr>
              <w:t>应往届</w:t>
            </w:r>
            <w:r>
              <w:rPr>
                <w:rFonts w:hint="eastAsia" w:ascii="方正仿宋简体" w:hAnsi="方正仿宋简体" w:eastAsia="方正仿宋简体" w:cs="方正仿宋简体"/>
                <w:color w:val="000000"/>
                <w:sz w:val="24"/>
                <w:szCs w:val="24"/>
              </w:rPr>
              <w:t>优秀全日制本科生</w:t>
            </w:r>
            <w:r>
              <w:rPr>
                <w:rFonts w:hint="eastAsia" w:ascii="方正仿宋简体" w:hAnsi="方正仿宋简体" w:eastAsia="方正仿宋简体" w:cs="方正仿宋简体"/>
                <w:color w:val="000000"/>
                <w:sz w:val="24"/>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初中数学教师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3</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初中数学</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初中英语教师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3</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初中英语</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初中物理教师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初中物理</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初中化学教师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初中化学</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初中历史教师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初中历史</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初中政治教师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初中政治</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初中美术教师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初中美术</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4"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初中音乐教师</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1"/>
                <w:szCs w:val="21"/>
              </w:rPr>
              <w:t>（声乐方向）</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初中音乐</w:t>
            </w:r>
          </w:p>
        </w:tc>
        <w:tc>
          <w:tcPr>
            <w:tcW w:w="5588" w:type="dxa"/>
            <w:vMerge w:val="continue"/>
            <w:tcBorders>
              <w:left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009"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初中信息技术教师</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初中信息技术</w:t>
            </w:r>
          </w:p>
        </w:tc>
        <w:tc>
          <w:tcPr>
            <w:tcW w:w="5588" w:type="dxa"/>
            <w:vMerge w:val="continue"/>
            <w:tcBorders>
              <w:left w:val="single" w:color="auto" w:sz="6" w:space="0"/>
              <w:bottom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4" w:hRule="atLeast"/>
          <w:jc w:val="center"/>
        </w:trPr>
        <w:tc>
          <w:tcPr>
            <w:tcW w:w="1009" w:type="dxa"/>
            <w:vMerge w:val="continue"/>
            <w:tcBorders>
              <w:left w:val="single" w:color="auto" w:sz="6" w:space="0"/>
              <w:bottom w:val="nil"/>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初中体育教师</w:t>
            </w:r>
          </w:p>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1"/>
                <w:szCs w:val="21"/>
              </w:rPr>
              <w:t>（体育舞蹈方向）</w:t>
            </w:r>
          </w:p>
        </w:tc>
        <w:tc>
          <w:tcPr>
            <w:tcW w:w="43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643" w:type="dxa"/>
            <w:vMerge w:val="continue"/>
            <w:tcBorders>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p>
        </w:tc>
        <w:tc>
          <w:tcPr>
            <w:tcW w:w="114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初中体育</w:t>
            </w:r>
          </w:p>
        </w:tc>
        <w:tc>
          <w:tcPr>
            <w:tcW w:w="5588" w:type="dxa"/>
            <w:tcBorders>
              <w:top w:val="single" w:color="auto" w:sz="6" w:space="0"/>
              <w:left w:val="single" w:color="auto" w:sz="6" w:space="0"/>
              <w:bottom w:val="single" w:color="auto" w:sz="6" w:space="0"/>
              <w:right w:val="single" w:color="auto" w:sz="6" w:space="0"/>
              <w:tl2br w:val="nil"/>
              <w:tr2bl w:val="nil"/>
            </w:tcBorders>
            <w:shd w:val="solid" w:color="FFFFFF" w:fill="auto"/>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80" w:lineRule="exact"/>
              <w:jc w:val="both"/>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体育专业院校普通全日制本科及以上学历优秀应往届毕业生。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2" w:hRule="atLeast"/>
          <w:jc w:val="center"/>
        </w:trPr>
        <w:tc>
          <w:tcPr>
            <w:tcW w:w="9957" w:type="dxa"/>
            <w:gridSpan w:val="6"/>
            <w:tcBorders>
              <w:top w:val="single" w:color="auto" w:sz="6" w:space="0"/>
              <w:left w:val="single" w:color="auto" w:sz="6" w:space="0"/>
              <w:bottom w:val="single" w:color="auto" w:sz="6" w:space="0"/>
              <w:right w:val="single" w:color="auto" w:sz="6" w:space="0"/>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320" w:lineRule="exact"/>
              <w:ind w:firstLine="480" w:firstLineChars="200"/>
              <w:jc w:val="left"/>
              <w:textAlignment w:val="auto"/>
              <w:rPr>
                <w:rFonts w:hint="eastAsia" w:ascii="方正仿宋简体" w:hAnsi="方正仿宋简体" w:eastAsia="方正仿宋简体" w:cs="方正仿宋简体"/>
                <w:b w:val="0"/>
                <w:bCs/>
                <w:color w:val="000000"/>
                <w:sz w:val="24"/>
                <w:szCs w:val="24"/>
              </w:rPr>
            </w:pPr>
            <w:r>
              <w:rPr>
                <w:rFonts w:hint="eastAsia" w:ascii="方正仿宋简体" w:hAnsi="方正仿宋简体" w:eastAsia="方正仿宋简体" w:cs="方正仿宋简体"/>
                <w:b w:val="0"/>
                <w:bCs/>
                <w:color w:val="000000"/>
                <w:sz w:val="24"/>
                <w:szCs w:val="24"/>
                <w:lang w:eastAsia="zh-CN"/>
              </w:rPr>
              <w:t>说明</w:t>
            </w:r>
            <w:r>
              <w:rPr>
                <w:rFonts w:hint="eastAsia" w:ascii="方正仿宋简体" w:hAnsi="方正仿宋简体" w:eastAsia="方正仿宋简体" w:cs="方正仿宋简体"/>
                <w:b w:val="0"/>
                <w:bCs/>
                <w:color w:val="000000"/>
                <w:sz w:val="24"/>
                <w:szCs w:val="24"/>
              </w:rPr>
              <w:t>：</w:t>
            </w:r>
            <w:r>
              <w:rPr>
                <w:rFonts w:hint="eastAsia" w:ascii="方正仿宋简体" w:hAnsi="方正仿宋简体" w:eastAsia="方正仿宋简体" w:cs="方正仿宋简体"/>
                <w:b w:val="0"/>
                <w:bCs/>
                <w:color w:val="000000"/>
                <w:sz w:val="24"/>
                <w:szCs w:val="24"/>
                <w:lang w:eastAsia="zh-CN"/>
              </w:rPr>
              <w:t>“</w:t>
            </w:r>
            <w:r>
              <w:rPr>
                <w:rFonts w:hint="eastAsia" w:ascii="方正仿宋简体" w:hAnsi="方正仿宋简体" w:eastAsia="方正仿宋简体" w:cs="方正仿宋简体"/>
                <w:color w:val="000000"/>
                <w:sz w:val="24"/>
                <w:szCs w:val="24"/>
              </w:rPr>
              <w:t>优秀全日制本科生</w:t>
            </w:r>
            <w:r>
              <w:rPr>
                <w:rFonts w:hint="eastAsia" w:ascii="方正仿宋简体" w:hAnsi="方正仿宋简体" w:eastAsia="方正仿宋简体" w:cs="方正仿宋简体"/>
                <w:color w:val="000000"/>
                <w:sz w:val="24"/>
                <w:szCs w:val="24"/>
                <w:lang w:eastAsia="zh-CN"/>
              </w:rPr>
              <w:t>、</w:t>
            </w:r>
            <w:r>
              <w:rPr>
                <w:rFonts w:hint="eastAsia" w:ascii="方正仿宋简体" w:hAnsi="方正仿宋简体" w:eastAsia="方正仿宋简体" w:cs="方正仿宋简体"/>
                <w:color w:val="000000"/>
                <w:sz w:val="24"/>
                <w:szCs w:val="24"/>
              </w:rPr>
              <w:t>优秀应往届毕业生</w:t>
            </w:r>
            <w:r>
              <w:rPr>
                <w:rFonts w:hint="eastAsia" w:ascii="方正仿宋简体" w:hAnsi="方正仿宋简体" w:eastAsia="方正仿宋简体" w:cs="方正仿宋简体"/>
                <w:color w:val="000000"/>
                <w:sz w:val="24"/>
                <w:szCs w:val="24"/>
                <w:lang w:eastAsia="zh-CN"/>
              </w:rPr>
              <w:t>”</w:t>
            </w:r>
            <w:r>
              <w:rPr>
                <w:rFonts w:hint="eastAsia" w:ascii="方正仿宋简体" w:hAnsi="方正仿宋简体" w:eastAsia="方正仿宋简体" w:cs="方正仿宋简体"/>
                <w:b w:val="0"/>
                <w:bCs/>
                <w:color w:val="000000"/>
                <w:sz w:val="24"/>
                <w:szCs w:val="24"/>
                <w:lang w:eastAsia="zh-CN"/>
              </w:rPr>
              <w:t>指在全日制本科及以上学习阶段获得</w:t>
            </w:r>
            <w:r>
              <w:rPr>
                <w:rFonts w:hint="eastAsia" w:ascii="方正仿宋简体" w:hAnsi="方正仿宋简体" w:eastAsia="方正仿宋简体" w:cs="方正仿宋简体"/>
                <w:b w:val="0"/>
                <w:bCs/>
                <w:color w:val="000000"/>
                <w:sz w:val="24"/>
                <w:szCs w:val="24"/>
              </w:rPr>
              <w:t>国家</w:t>
            </w:r>
            <w:r>
              <w:rPr>
                <w:rFonts w:hint="eastAsia" w:ascii="方正仿宋简体" w:hAnsi="方正仿宋简体" w:eastAsia="方正仿宋简体" w:cs="方正仿宋简体"/>
                <w:b w:val="0"/>
                <w:bCs/>
                <w:color w:val="000000"/>
                <w:sz w:val="24"/>
                <w:szCs w:val="24"/>
                <w:lang w:eastAsia="zh-CN"/>
              </w:rPr>
              <w:t>、</w:t>
            </w:r>
            <w:r>
              <w:rPr>
                <w:rFonts w:hint="eastAsia" w:ascii="方正仿宋简体" w:hAnsi="方正仿宋简体" w:eastAsia="方正仿宋简体" w:cs="方正仿宋简体"/>
                <w:b w:val="0"/>
                <w:bCs/>
                <w:color w:val="000000"/>
                <w:sz w:val="24"/>
                <w:szCs w:val="24"/>
              </w:rPr>
              <w:t>省级政府奖学金</w:t>
            </w:r>
            <w:r>
              <w:rPr>
                <w:rFonts w:hint="eastAsia" w:ascii="方正仿宋简体" w:hAnsi="方正仿宋简体" w:eastAsia="方正仿宋简体" w:cs="方正仿宋简体"/>
                <w:b w:val="0"/>
                <w:bCs/>
                <w:color w:val="000000"/>
                <w:sz w:val="24"/>
                <w:szCs w:val="24"/>
                <w:lang w:eastAsia="zh-CN"/>
              </w:rPr>
              <w:t>，</w:t>
            </w:r>
            <w:r>
              <w:rPr>
                <w:rFonts w:hint="eastAsia" w:ascii="方正仿宋简体" w:hAnsi="方正仿宋简体" w:eastAsia="方正仿宋简体" w:cs="方正仿宋简体"/>
                <w:b w:val="0"/>
                <w:bCs/>
                <w:color w:val="000000"/>
                <w:sz w:val="24"/>
                <w:szCs w:val="24"/>
              </w:rPr>
              <w:t>国家励志奖学金</w:t>
            </w:r>
            <w:r>
              <w:rPr>
                <w:rFonts w:hint="eastAsia" w:ascii="方正仿宋简体" w:hAnsi="方正仿宋简体" w:eastAsia="方正仿宋简体" w:cs="方正仿宋简体"/>
                <w:b w:val="0"/>
                <w:bCs/>
                <w:color w:val="000000"/>
                <w:sz w:val="24"/>
                <w:szCs w:val="24"/>
                <w:lang w:eastAsia="zh-CN"/>
              </w:rPr>
              <w:t>，</w:t>
            </w:r>
            <w:r>
              <w:rPr>
                <w:rFonts w:hint="eastAsia" w:ascii="方正仿宋简体" w:hAnsi="方正仿宋简体" w:eastAsia="方正仿宋简体" w:cs="方正仿宋简体"/>
                <w:b w:val="0"/>
                <w:bCs/>
                <w:color w:val="000000"/>
                <w:sz w:val="24"/>
                <w:szCs w:val="24"/>
              </w:rPr>
              <w:t>省级及以上</w:t>
            </w:r>
            <w:r>
              <w:rPr>
                <w:rFonts w:hint="eastAsia" w:ascii="方正仿宋简体" w:hAnsi="方正仿宋简体" w:eastAsia="方正仿宋简体" w:cs="方正仿宋简体"/>
                <w:b w:val="0"/>
                <w:bCs/>
                <w:color w:val="000000"/>
                <w:sz w:val="24"/>
                <w:szCs w:val="24"/>
                <w:lang w:eastAsia="zh-CN"/>
              </w:rPr>
              <w:t>党委、政府、教育行政部门主办或共同主办的</w:t>
            </w:r>
            <w:r>
              <w:rPr>
                <w:rFonts w:hint="eastAsia" w:ascii="方正仿宋简体" w:hAnsi="方正仿宋简体" w:eastAsia="方正仿宋简体" w:cs="方正仿宋简体"/>
                <w:b w:val="0"/>
                <w:bCs/>
                <w:color w:val="000000"/>
                <w:sz w:val="24"/>
                <w:szCs w:val="24"/>
              </w:rPr>
              <w:t>教学技能竞赛奖励</w:t>
            </w:r>
            <w:r>
              <w:rPr>
                <w:rFonts w:hint="eastAsia" w:ascii="方正仿宋简体" w:hAnsi="方正仿宋简体" w:eastAsia="方正仿宋简体" w:cs="方正仿宋简体"/>
                <w:b w:val="0"/>
                <w:bCs/>
                <w:color w:val="000000"/>
                <w:sz w:val="24"/>
                <w:szCs w:val="24"/>
                <w:lang w:eastAsia="zh-CN"/>
              </w:rPr>
              <w:t>，</w:t>
            </w:r>
            <w:r>
              <w:rPr>
                <w:rFonts w:hint="eastAsia" w:ascii="方正仿宋简体" w:hAnsi="方正仿宋简体" w:eastAsia="方正仿宋简体" w:cs="方正仿宋简体"/>
                <w:b w:val="0"/>
                <w:bCs/>
                <w:color w:val="000000"/>
                <w:sz w:val="24"/>
                <w:szCs w:val="24"/>
              </w:rPr>
              <w:t>省级及以上优秀毕业生（优秀学生党员、三好学生、优秀学生干部、优秀共青团员）</w:t>
            </w:r>
            <w:r>
              <w:rPr>
                <w:rFonts w:hint="eastAsia" w:ascii="方正仿宋简体" w:hAnsi="方正仿宋简体" w:eastAsia="方正仿宋简体" w:cs="方正仿宋简体"/>
                <w:b w:val="0"/>
                <w:bCs/>
                <w:color w:val="000000"/>
                <w:sz w:val="24"/>
                <w:szCs w:val="24"/>
                <w:lang w:eastAsia="zh-CN"/>
              </w:rPr>
              <w:t>荣誉称号的毕业生</w:t>
            </w:r>
            <w:r>
              <w:rPr>
                <w:rFonts w:hint="eastAsia" w:ascii="方正仿宋简体" w:hAnsi="方正仿宋简体" w:eastAsia="方正仿宋简体" w:cs="方正仿宋简体"/>
                <w:b w:val="0"/>
                <w:bCs/>
                <w:color w:val="000000"/>
                <w:sz w:val="24"/>
                <w:szCs w:val="24"/>
              </w:rPr>
              <w:t>。</w:t>
            </w:r>
          </w:p>
        </w:tc>
      </w:tr>
    </w:tbl>
    <w:p>
      <w:pPr>
        <w:keepNext w:val="0"/>
        <w:keepLines w:val="0"/>
        <w:pageBreakBefore w:val="0"/>
        <w:widowControl/>
        <w:kinsoku/>
        <w:wordWrap/>
        <w:overflowPunct/>
        <w:topLinePunct w:val="0"/>
        <w:autoSpaceDE/>
        <w:autoSpaceDN/>
        <w:bidi w:val="0"/>
        <w:adjustRightInd/>
        <w:snapToGrid/>
        <w:spacing w:line="240" w:lineRule="exact"/>
        <w:textAlignment w:val="auto"/>
      </w:pPr>
    </w:p>
    <w:p>
      <w:pPr>
        <w:jc w:val="center"/>
        <w:textAlignment w:val="center"/>
        <w:rPr>
          <w:rFonts w:hint="eastAsia" w:ascii="宋体" w:hAnsi="宋体"/>
          <w:color w:val="000000"/>
          <w:sz w:val="20"/>
        </w:rPr>
      </w:pPr>
    </w:p>
    <w:tbl>
      <w:tblPr>
        <w:tblStyle w:val="5"/>
        <w:tblW w:w="10360" w:type="dxa"/>
        <w:tblInd w:w="-694" w:type="dxa"/>
        <w:tblLayout w:type="autofit"/>
        <w:tblCellMar>
          <w:top w:w="0" w:type="dxa"/>
          <w:left w:w="0" w:type="dxa"/>
          <w:bottom w:w="0" w:type="dxa"/>
          <w:right w:w="0" w:type="dxa"/>
        </w:tblCellMar>
      </w:tblPr>
      <w:tblGrid>
        <w:gridCol w:w="753"/>
        <w:gridCol w:w="1609"/>
        <w:gridCol w:w="454"/>
        <w:gridCol w:w="726"/>
        <w:gridCol w:w="1271"/>
        <w:gridCol w:w="2726"/>
        <w:gridCol w:w="1545"/>
        <w:gridCol w:w="1276"/>
      </w:tblGrid>
      <w:tr>
        <w:tblPrEx>
          <w:tblCellMar>
            <w:top w:w="0" w:type="dxa"/>
            <w:left w:w="0" w:type="dxa"/>
            <w:bottom w:w="0" w:type="dxa"/>
            <w:right w:w="0" w:type="dxa"/>
          </w:tblCellMar>
        </w:tblPrEx>
        <w:trPr>
          <w:trHeight w:val="507" w:hRule="atLeast"/>
        </w:trPr>
        <w:tc>
          <w:tcPr>
            <w:tcW w:w="10360" w:type="dxa"/>
            <w:gridSpan w:val="8"/>
            <w:tcBorders>
              <w:top w:val="nil"/>
              <w:left w:val="nil"/>
              <w:bottom w:val="nil"/>
              <w:right w:val="nil"/>
            </w:tcBorders>
            <w:shd w:val="clear" w:color="auto" w:fill="auto"/>
            <w:tcMar>
              <w:top w:w="15" w:type="dxa"/>
              <w:left w:w="15" w:type="dxa"/>
              <w:right w:w="15" w:type="dxa"/>
            </w:tcMar>
            <w:vAlign w:val="center"/>
          </w:tcPr>
          <w:p>
            <w:pPr>
              <w:jc w:val="center"/>
              <w:textAlignment w:val="center"/>
              <w:rPr>
                <w:rFonts w:ascii="宋体" w:hAnsi="宋体" w:cs="宋体"/>
                <w:b/>
                <w:color w:val="000000"/>
                <w:sz w:val="40"/>
                <w:szCs w:val="40"/>
              </w:rPr>
            </w:pPr>
            <w:r>
              <w:rPr>
                <w:rFonts w:hint="eastAsia" w:ascii="宋体" w:hAnsi="宋体" w:cs="宋体"/>
                <w:b/>
                <w:color w:val="000000"/>
                <w:kern w:val="0"/>
                <w:sz w:val="40"/>
                <w:szCs w:val="40"/>
              </w:rPr>
              <w:t>湖南交通工程学院2019年招聘计划</w:t>
            </w:r>
          </w:p>
        </w:tc>
      </w:tr>
      <w:tr>
        <w:tblPrEx>
          <w:tblCellMar>
            <w:top w:w="0" w:type="dxa"/>
            <w:left w:w="0" w:type="dxa"/>
            <w:bottom w:w="0" w:type="dxa"/>
            <w:right w:w="0" w:type="dxa"/>
          </w:tblCellMar>
        </w:tblPrEx>
        <w:trPr>
          <w:trHeight w:val="632"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000000"/>
                <w:sz w:val="24"/>
              </w:rPr>
            </w:pPr>
            <w:r>
              <w:rPr>
                <w:rFonts w:hint="eastAsia" w:ascii="宋体" w:hAnsi="宋体" w:cs="宋体"/>
                <w:b/>
                <w:color w:val="000000"/>
                <w:kern w:val="0"/>
                <w:sz w:val="24"/>
                <w:szCs w:val="24"/>
              </w:rPr>
              <w:t>二级学院</w:t>
            </w: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000000"/>
                <w:sz w:val="24"/>
              </w:rPr>
            </w:pPr>
            <w:r>
              <w:rPr>
                <w:rFonts w:hint="eastAsia" w:ascii="宋体" w:hAnsi="宋体" w:cs="宋体"/>
                <w:b/>
                <w:color w:val="000000"/>
                <w:kern w:val="0"/>
                <w:sz w:val="24"/>
                <w:szCs w:val="24"/>
              </w:rPr>
              <w:t>招聘专业</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000000"/>
                <w:sz w:val="24"/>
              </w:rPr>
            </w:pPr>
            <w:r>
              <w:rPr>
                <w:rFonts w:hint="eastAsia" w:ascii="宋体" w:hAnsi="宋体" w:cs="宋体"/>
                <w:b/>
                <w:color w:val="000000"/>
                <w:kern w:val="0"/>
                <w:sz w:val="24"/>
                <w:szCs w:val="24"/>
              </w:rPr>
              <w:t>招聘人数</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000000"/>
                <w:sz w:val="24"/>
              </w:rPr>
            </w:pPr>
            <w:r>
              <w:rPr>
                <w:rFonts w:hint="eastAsia" w:ascii="宋体" w:hAnsi="宋体" w:cs="宋体"/>
                <w:b/>
                <w:color w:val="000000"/>
                <w:kern w:val="0"/>
                <w:sz w:val="24"/>
                <w:szCs w:val="24"/>
              </w:rPr>
              <w:t>岗位名称</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000000"/>
                <w:sz w:val="24"/>
              </w:rPr>
            </w:pPr>
            <w:r>
              <w:rPr>
                <w:rFonts w:hint="eastAsia" w:ascii="宋体" w:hAnsi="宋体" w:cs="宋体"/>
                <w:b/>
                <w:color w:val="000000"/>
                <w:kern w:val="0"/>
                <w:sz w:val="24"/>
                <w:szCs w:val="24"/>
              </w:rPr>
              <w:t>专业要求</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000000"/>
                <w:sz w:val="24"/>
              </w:rPr>
            </w:pPr>
            <w:r>
              <w:rPr>
                <w:rFonts w:hint="eastAsia" w:ascii="宋体" w:hAnsi="宋体" w:cs="宋体"/>
                <w:b/>
                <w:color w:val="000000"/>
                <w:kern w:val="0"/>
                <w:sz w:val="24"/>
                <w:szCs w:val="24"/>
              </w:rPr>
              <w:t>学历、学位要求</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000000"/>
                <w:sz w:val="24"/>
              </w:rPr>
            </w:pPr>
            <w:r>
              <w:rPr>
                <w:rFonts w:hint="eastAsia" w:ascii="宋体" w:hAnsi="宋体" w:cs="宋体"/>
                <w:b/>
                <w:color w:val="000000"/>
                <w:kern w:val="0"/>
                <w:sz w:val="24"/>
                <w:szCs w:val="24"/>
              </w:rPr>
              <w:t>其他要求</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b/>
                <w:color w:val="000000"/>
                <w:sz w:val="24"/>
              </w:rPr>
            </w:pPr>
            <w:r>
              <w:rPr>
                <w:rFonts w:hint="eastAsia" w:ascii="宋体" w:hAnsi="宋体" w:cs="宋体"/>
                <w:b/>
                <w:color w:val="000000"/>
                <w:kern w:val="0"/>
                <w:sz w:val="24"/>
                <w:szCs w:val="24"/>
              </w:rPr>
              <w:t>备注</w:t>
            </w:r>
          </w:p>
        </w:tc>
      </w:tr>
      <w:tr>
        <w:tblPrEx>
          <w:tblCellMar>
            <w:top w:w="0" w:type="dxa"/>
            <w:left w:w="0" w:type="dxa"/>
            <w:bottom w:w="0" w:type="dxa"/>
            <w:right w:w="0" w:type="dxa"/>
          </w:tblCellMar>
        </w:tblPrEx>
        <w:trPr>
          <w:trHeight w:val="569" w:hRule="atLeast"/>
        </w:trPr>
        <w:tc>
          <w:tcPr>
            <w:tcW w:w="753"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机电工程学院</w:t>
            </w: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人工智能方向</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5</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人工智能和机械工程方向</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身体健康、五官端正、语言表达能力强</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机械工程</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5</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人工智能和机械工程方向</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身体健康、五官端正、语言表达能力强</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电气与信息工程学院</w:t>
            </w: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电子商务、物联网</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4</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电子商务、电气工程、电子信息、物联网、大数据、软件工程</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left"/>
              <w:textAlignment w:val="center"/>
              <w:rPr>
                <w:rFonts w:ascii="宋体" w:hAnsi="宋体" w:cs="宋体"/>
                <w:color w:val="000000"/>
                <w:sz w:val="20"/>
              </w:rPr>
            </w:pPr>
            <w:r>
              <w:rPr>
                <w:rFonts w:hint="eastAsia" w:ascii="宋体" w:hAnsi="宋体" w:cs="宋体"/>
                <w:color w:val="000000"/>
                <w:kern w:val="0"/>
                <w:sz w:val="20"/>
              </w:rPr>
              <w:t>1、包含一定比例企业高职称人才；                                                                                                                                                  2、包含一定比例高校高职称年轻专家；</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电气工程、电子信息</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5</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软件工程、大数据技术专业</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5</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护理学院</w:t>
            </w: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护理学、康复治疗学</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7</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护理、临床医学、      康复治疗等</w:t>
            </w:r>
          </w:p>
        </w:tc>
        <w:tc>
          <w:tcPr>
            <w:tcW w:w="2726" w:type="dxa"/>
            <w:vMerge w:val="restart"/>
            <w:tcBorders>
              <w:top w:val="single" w:color="000000" w:sz="4" w:space="0"/>
              <w:left w:val="single" w:color="000000" w:sz="4" w:space="0"/>
              <w:bottom w:val="nil"/>
              <w:right w:val="single" w:color="000000" w:sz="4" w:space="0"/>
            </w:tcBorders>
            <w:shd w:val="clear" w:color="auto" w:fill="F2F2F2"/>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本科学士学位及以上</w:t>
            </w:r>
          </w:p>
        </w:tc>
        <w:tc>
          <w:tcPr>
            <w:tcW w:w="154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left"/>
              <w:textAlignment w:val="center"/>
              <w:rPr>
                <w:rFonts w:ascii="宋体" w:hAnsi="宋体" w:cs="宋体"/>
                <w:color w:val="000000"/>
                <w:sz w:val="20"/>
              </w:rPr>
            </w:pPr>
            <w:r>
              <w:rPr>
                <w:rFonts w:hint="eastAsia" w:ascii="宋体" w:hAnsi="宋体" w:cs="宋体"/>
                <w:color w:val="000000"/>
                <w:kern w:val="0"/>
                <w:sz w:val="20"/>
              </w:rPr>
              <w:t>1、1982年1月1日以后出生；                                                                                                                                                  2、国家统招全日制高校本科、硕士毕业生；</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临床医学、助产学等</w:t>
            </w:r>
          </w:p>
        </w:tc>
        <w:tc>
          <w:tcPr>
            <w:tcW w:w="45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4</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2726" w:type="dxa"/>
            <w:vMerge w:val="continue"/>
            <w:tcBorders>
              <w:top w:val="single" w:color="000000" w:sz="4" w:space="0"/>
              <w:left w:val="single" w:color="000000" w:sz="4" w:space="0"/>
              <w:bottom w:val="nil"/>
              <w:right w:val="single" w:color="000000" w:sz="4" w:space="0"/>
            </w:tcBorders>
            <w:shd w:val="clear" w:color="auto" w:fill="F2F2F2"/>
            <w:tcMar>
              <w:top w:w="15" w:type="dxa"/>
              <w:left w:w="15" w:type="dxa"/>
              <w:right w:w="15" w:type="dxa"/>
            </w:tcMar>
            <w:vAlign w:val="center"/>
          </w:tcPr>
          <w:p>
            <w:pPr>
              <w:jc w:val="center"/>
              <w:rPr>
                <w:rFonts w:ascii="宋体" w:hAnsi="宋体" w:cs="宋体"/>
                <w:color w:val="000000"/>
                <w:sz w:val="20"/>
              </w:rPr>
            </w:pPr>
          </w:p>
        </w:tc>
        <w:tc>
          <w:tcPr>
            <w:tcW w:w="154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869" w:hRule="atLeast"/>
        </w:trPr>
        <w:tc>
          <w:tcPr>
            <w:tcW w:w="75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交通运输工程学院</w:t>
            </w:r>
          </w:p>
        </w:tc>
        <w:tc>
          <w:tcPr>
            <w:tcW w:w="1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交通工程</w:t>
            </w:r>
            <w:r>
              <w:rPr>
                <w:rFonts w:hint="eastAsia" w:ascii="宋体" w:hAnsi="宋体" w:cs="宋体"/>
                <w:color w:val="000000"/>
                <w:kern w:val="0"/>
                <w:sz w:val="20"/>
              </w:rPr>
              <w:br w:type="textWrapping"/>
            </w:r>
            <w:r>
              <w:rPr>
                <w:rFonts w:hint="eastAsia" w:ascii="宋体" w:hAnsi="宋体" w:cs="宋体"/>
                <w:color w:val="000000"/>
                <w:kern w:val="0"/>
                <w:sz w:val="20"/>
              </w:rPr>
              <w:t>土木工程</w:t>
            </w:r>
            <w:r>
              <w:rPr>
                <w:rFonts w:hint="eastAsia" w:ascii="宋体" w:hAnsi="宋体" w:cs="宋体"/>
                <w:color w:val="000000"/>
                <w:kern w:val="0"/>
                <w:sz w:val="20"/>
              </w:rPr>
              <w:br w:type="textWrapping"/>
            </w:r>
            <w:r>
              <w:rPr>
                <w:rFonts w:hint="eastAsia" w:ascii="宋体" w:hAnsi="宋体" w:cs="宋体"/>
                <w:color w:val="000000"/>
                <w:kern w:val="0"/>
                <w:sz w:val="20"/>
              </w:rPr>
              <w:t>交通运输</w:t>
            </w:r>
            <w:r>
              <w:rPr>
                <w:rFonts w:hint="eastAsia" w:ascii="宋体" w:hAnsi="宋体" w:cs="宋体"/>
                <w:color w:val="000000"/>
                <w:kern w:val="0"/>
                <w:sz w:val="20"/>
              </w:rPr>
              <w:br w:type="textWrapping"/>
            </w:r>
            <w:r>
              <w:rPr>
                <w:rFonts w:hint="eastAsia" w:ascii="宋体" w:hAnsi="宋体" w:cs="宋体"/>
                <w:color w:val="000000"/>
                <w:kern w:val="0"/>
                <w:sz w:val="20"/>
              </w:rPr>
              <w:t>铁道工程</w:t>
            </w:r>
            <w:r>
              <w:rPr>
                <w:rFonts w:hint="eastAsia" w:ascii="宋体" w:hAnsi="宋体" w:cs="宋体"/>
                <w:color w:val="000000"/>
                <w:kern w:val="0"/>
                <w:sz w:val="20"/>
              </w:rPr>
              <w:br w:type="textWrapping"/>
            </w:r>
            <w:r>
              <w:rPr>
                <w:rFonts w:hint="eastAsia" w:ascii="宋体" w:hAnsi="宋体" w:cs="宋体"/>
                <w:color w:val="000000"/>
                <w:kern w:val="0"/>
                <w:sz w:val="20"/>
              </w:rPr>
              <w:t>物流工程</w:t>
            </w:r>
            <w:r>
              <w:rPr>
                <w:rFonts w:hint="eastAsia" w:ascii="宋体" w:hAnsi="宋体" w:cs="宋体"/>
                <w:color w:val="000000"/>
                <w:kern w:val="0"/>
                <w:sz w:val="20"/>
              </w:rPr>
              <w:br w:type="textWrapping"/>
            </w:r>
            <w:r>
              <w:rPr>
                <w:rFonts w:hint="eastAsia" w:ascii="宋体" w:hAnsi="宋体" w:cs="宋体"/>
                <w:color w:val="000000"/>
                <w:kern w:val="0"/>
                <w:sz w:val="20"/>
              </w:rPr>
              <w:t>工程造价</w:t>
            </w:r>
            <w:r>
              <w:rPr>
                <w:rFonts w:hint="eastAsia" w:ascii="宋体" w:hAnsi="宋体" w:cs="宋体"/>
                <w:color w:val="000000"/>
                <w:kern w:val="0"/>
                <w:sz w:val="20"/>
              </w:rPr>
              <w:br w:type="textWrapping"/>
            </w:r>
            <w:r>
              <w:rPr>
                <w:rFonts w:hint="eastAsia" w:ascii="宋体" w:hAnsi="宋体" w:cs="宋体"/>
                <w:color w:val="000000"/>
                <w:kern w:val="0"/>
                <w:sz w:val="20"/>
              </w:rPr>
              <w:t>轨道交通信号与控制</w:t>
            </w:r>
            <w:r>
              <w:rPr>
                <w:rFonts w:hint="eastAsia" w:ascii="宋体" w:hAnsi="宋体" w:cs="宋体"/>
                <w:color w:val="000000"/>
                <w:kern w:val="0"/>
                <w:sz w:val="20"/>
              </w:rPr>
              <w:br w:type="textWrapping"/>
            </w:r>
            <w:r>
              <w:rPr>
                <w:rFonts w:hint="eastAsia" w:ascii="宋体" w:hAnsi="宋体" w:cs="宋体"/>
                <w:color w:val="000000"/>
                <w:kern w:val="0"/>
                <w:sz w:val="20"/>
              </w:rPr>
              <w:t>电气工程及自动化</w:t>
            </w:r>
          </w:p>
        </w:tc>
        <w:tc>
          <w:tcPr>
            <w:tcW w:w="4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25</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土木工程                   （第一学历专业）</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硕士及以上；或本科3年及以上相关工作经验并有工程师中级职称（本科所学专业为土木工程）</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8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交通工程                     （第一学历专业）</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硕士及以上；或本科且3年及以上相关工作经验并有工程师中级职称（本科所学专业为交通工程）</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8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交通运输                （第一学历专业）</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硕士及以上；或本科且3年及以上相关工作经验并有工程师中级职称（本科所学专业为交通运输）</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8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物流工程               （第一学历专业）</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硕士及以上；或本科且3年及以上相关工作经验并有工程师中级职称（本科所学专业为物流工程）</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8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轨道交通信号与控制</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硕士及以上；或本科且3年及以上相关工作经验并有工程师中级职称（本科所学专业为轨道交通信号与控制）</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8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工程造价                  （第一学历专业）</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硕士及以上；或本科且3年及以上相关工作经验并有工程师中级职称（本科所学专业为工程造价）</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8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电气工程及自动化 （第一学历专业）</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硕士及以上；或本科且3年及以上相关工作经验并有工程师中级职称（本科所学专业为电气工程及自动化）</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专业带头人</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交通运输专业或相关研究方向</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博士；或硕士且有副高及以上职称</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专业带头人</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铁道工程专业或相关研究方向</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博士；或硕士且有副高及以上职称</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专业带头人</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工程造价专业或相关研究方向</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博士；或硕士且有副高及以上职称</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经济管理学院</w:t>
            </w:r>
          </w:p>
        </w:tc>
        <w:tc>
          <w:tcPr>
            <w:tcW w:w="160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国际贸易、市场营销、金融工程</w:t>
            </w:r>
          </w:p>
        </w:tc>
        <w:tc>
          <w:tcPr>
            <w:tcW w:w="454"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4</w:t>
            </w:r>
          </w:p>
        </w:tc>
        <w:tc>
          <w:tcPr>
            <w:tcW w:w="72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专业带头人</w:t>
            </w:r>
          </w:p>
        </w:tc>
        <w:tc>
          <w:tcPr>
            <w:tcW w:w="127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国际贸易、市场营销、金融工程</w:t>
            </w:r>
          </w:p>
        </w:tc>
        <w:tc>
          <w:tcPr>
            <w:tcW w:w="272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博士研究生  博士</w:t>
            </w:r>
          </w:p>
        </w:tc>
        <w:tc>
          <w:tcPr>
            <w:tcW w:w="15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教授职称，主持过专业学位评估</w:t>
            </w:r>
          </w:p>
        </w:tc>
        <w:tc>
          <w:tcPr>
            <w:tcW w:w="127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国际贸易、市场营销</w:t>
            </w:r>
          </w:p>
        </w:tc>
        <w:tc>
          <w:tcPr>
            <w:tcW w:w="454"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专业带头人</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国际贸易、市场营销</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博士研究生  博士</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教授职称，主持过专业学位评估</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金融工程</w:t>
            </w:r>
          </w:p>
        </w:tc>
        <w:tc>
          <w:tcPr>
            <w:tcW w:w="4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3</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金融工程</w:t>
            </w:r>
          </w:p>
        </w:tc>
        <w:tc>
          <w:tcPr>
            <w:tcW w:w="2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博士研究生  博士</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教授职称，主持过专业学位评估</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金融工程</w:t>
            </w: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金融工程</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本科为国际贸易、研究生为国际贸易或应用经济学</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金融工程</w:t>
            </w:r>
          </w:p>
        </w:tc>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金融工程</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本科为金融工程、研究生为金融工程或金融学</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马克思主义学院</w:t>
            </w: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马克思主义基本原理</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3</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思政、历史、心理学等相关专业</w:t>
            </w:r>
          </w:p>
        </w:tc>
        <w:tc>
          <w:tcPr>
            <w:tcW w:w="27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 xml:space="preserve">1、中共党员（或中共预备党员）                                                                                                                                                 2、国家统招全日制硕士毕业生；   </w:t>
            </w:r>
            <w:r>
              <w:rPr>
                <w:rFonts w:hint="eastAsia" w:ascii="宋体" w:hAnsi="宋体" w:cs="宋体"/>
                <w:color w:val="000000"/>
                <w:kern w:val="0"/>
                <w:sz w:val="20"/>
              </w:rPr>
              <w:br w:type="textWrapping"/>
            </w:r>
            <w:r>
              <w:rPr>
                <w:rFonts w:hint="eastAsia" w:ascii="宋体" w:hAnsi="宋体" w:cs="宋体"/>
                <w:color w:val="000000"/>
                <w:kern w:val="0"/>
                <w:sz w:val="20"/>
              </w:rPr>
              <w:t>3、1982年1月1日以后出生；4、博士研究生优先考虑；</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历史学</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3</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27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心理学</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2</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27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公共基础课部</w:t>
            </w: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物理</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3</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物理专业（2-3）、数学专业（2）</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数学</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2</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数学专业(1)</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569" w:hRule="atLeast"/>
        </w:trPr>
        <w:tc>
          <w:tcPr>
            <w:tcW w:w="75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人文与艺术学院</w:t>
            </w: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音乐学</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5</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音乐表演、音乐学、艺术学等专业；放方向为：美声唱法、民族唱法、通俗唱法、钢琴、器乐、舞蹈、音乐理论等。</w:t>
            </w:r>
          </w:p>
        </w:tc>
        <w:tc>
          <w:tcPr>
            <w:tcW w:w="2726" w:type="dxa"/>
            <w:vMerge w:val="restart"/>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硕士研究生及以上（舞蹈方向可酌情考虑优秀本科学位）</w:t>
            </w:r>
          </w:p>
        </w:tc>
        <w:tc>
          <w:tcPr>
            <w:tcW w:w="1545" w:type="dxa"/>
            <w:vMerge w:val="restart"/>
            <w:tcBorders>
              <w:top w:val="nil"/>
              <w:left w:val="nil"/>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 xml:space="preserve">1、1982年1月1日以后出生；                                                                                                                                                  2、国家统招全日制高校2011年或2012年硕士毕业生；   </w:t>
            </w:r>
            <w:r>
              <w:rPr>
                <w:rFonts w:hint="eastAsia" w:ascii="宋体" w:hAnsi="宋体" w:cs="宋体"/>
                <w:color w:val="000000"/>
                <w:kern w:val="0"/>
                <w:sz w:val="20"/>
              </w:rPr>
              <w:br w:type="textWrapping"/>
            </w:r>
            <w:r>
              <w:rPr>
                <w:rFonts w:hint="eastAsia" w:ascii="宋体" w:hAnsi="宋体" w:cs="宋体"/>
                <w:color w:val="000000"/>
                <w:kern w:val="0"/>
                <w:sz w:val="20"/>
              </w:rPr>
              <w:t>3、国家“211”工程师范类院校或教育部批准独立设置的全日制本科音乐学院毕业生。</w:t>
            </w:r>
          </w:p>
        </w:tc>
        <w:tc>
          <w:tcPr>
            <w:tcW w:w="1276" w:type="dxa"/>
            <w:vMerge w:val="restart"/>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由于音乐类专业特殊性，考虑到学缘的关系，本校音乐类专业需要融入全国各个杰出院校的人才。</w:t>
            </w:r>
          </w:p>
        </w:tc>
      </w:tr>
      <w:tr>
        <w:tblPrEx>
          <w:tblCellMar>
            <w:top w:w="0" w:type="dxa"/>
            <w:left w:w="0" w:type="dxa"/>
            <w:bottom w:w="0" w:type="dxa"/>
            <w:right w:w="0" w:type="dxa"/>
          </w:tblCellMar>
        </w:tblPrEx>
        <w:trPr>
          <w:trHeight w:val="1078"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音乐表演</w:t>
            </w:r>
          </w:p>
        </w:tc>
        <w:tc>
          <w:tcPr>
            <w:tcW w:w="45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5</w:t>
            </w:r>
          </w:p>
        </w:tc>
        <w:tc>
          <w:tcPr>
            <w:tcW w:w="72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2726" w:type="dxa"/>
            <w:vMerge w:val="continue"/>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545" w:type="dxa"/>
            <w:vMerge w:val="continue"/>
            <w:tcBorders>
              <w:top w:val="nil"/>
              <w:left w:val="nil"/>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276" w:type="dxa"/>
            <w:vMerge w:val="continue"/>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r>
      <w:tr>
        <w:tblPrEx>
          <w:tblCellMar>
            <w:top w:w="0" w:type="dxa"/>
            <w:left w:w="0" w:type="dxa"/>
            <w:bottom w:w="0" w:type="dxa"/>
            <w:right w:w="0" w:type="dxa"/>
          </w:tblCellMar>
        </w:tblPrEx>
        <w:trPr>
          <w:trHeight w:val="756"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cs="宋体"/>
                <w:color w:val="000000"/>
                <w:sz w:val="20"/>
              </w:rPr>
            </w:pP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英语</w:t>
            </w:r>
          </w:p>
        </w:tc>
        <w:tc>
          <w:tcPr>
            <w:tcW w:w="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5</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专任教师</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外国语言文学相关专业</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硕士研究生及以上</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cs="宋体"/>
                <w:color w:val="000000"/>
                <w:sz w:val="20"/>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宋体" w:hAnsi="宋体" w:cs="宋体"/>
                <w:color w:val="000000"/>
                <w:sz w:val="20"/>
              </w:rPr>
            </w:pPr>
            <w:r>
              <w:rPr>
                <w:rFonts w:hint="eastAsia" w:ascii="宋体" w:hAnsi="宋体" w:cs="宋体"/>
                <w:color w:val="000000"/>
                <w:kern w:val="0"/>
                <w:sz w:val="20"/>
              </w:rPr>
              <w:t>英语的相关专业需要考虑学缘关系以及有相关商务背景的学校。</w:t>
            </w:r>
          </w:p>
        </w:tc>
      </w:tr>
    </w:tbl>
    <w:p>
      <w:pPr>
        <w:ind w:firstLine="440" w:firstLineChars="200"/>
        <w:jc w:val="left"/>
        <w:rPr>
          <w:sz w:val="22"/>
          <w:szCs w:val="28"/>
        </w:rPr>
      </w:pPr>
    </w:p>
    <w:p>
      <w:pPr>
        <w:jc w:val="center"/>
        <w:textAlignment w:val="center"/>
        <w:rPr>
          <w:rFonts w:hint="eastAsia" w:ascii="宋体" w:hAnsi="宋体"/>
          <w:color w:val="000000"/>
          <w:sz w:val="20"/>
        </w:rPr>
      </w:pPr>
    </w:p>
    <w:p>
      <w:pPr>
        <w:jc w:val="both"/>
        <w:textAlignment w:val="center"/>
        <w:rPr>
          <w:rFonts w:hint="eastAsia" w:ascii="宋体" w:hAnsi="宋体" w:cs="宋体"/>
          <w:b/>
          <w:bCs/>
          <w:kern w:val="0"/>
          <w:sz w:val="48"/>
          <w:szCs w:val="48"/>
        </w:rPr>
      </w:pPr>
    </w:p>
    <w:p>
      <w:pPr>
        <w:jc w:val="center"/>
        <w:textAlignment w:val="center"/>
        <w:rPr>
          <w:rFonts w:hint="eastAsia" w:ascii="宋体" w:hAnsi="宋体"/>
          <w:color w:val="000000"/>
          <w:sz w:val="20"/>
        </w:rPr>
      </w:pPr>
    </w:p>
    <w:tbl>
      <w:tblPr>
        <w:tblStyle w:val="5"/>
        <w:tblpPr w:leftFromText="180" w:rightFromText="180" w:vertAnchor="text" w:horzAnchor="page" w:tblpX="531" w:tblpY="607"/>
        <w:tblOverlap w:val="never"/>
        <w:tblW w:w="10880" w:type="dxa"/>
        <w:tblInd w:w="0" w:type="dxa"/>
        <w:tblLayout w:type="autofit"/>
        <w:tblCellMar>
          <w:top w:w="0" w:type="dxa"/>
          <w:left w:w="108" w:type="dxa"/>
          <w:bottom w:w="0" w:type="dxa"/>
          <w:right w:w="108" w:type="dxa"/>
        </w:tblCellMar>
      </w:tblPr>
      <w:tblGrid>
        <w:gridCol w:w="437"/>
        <w:gridCol w:w="552"/>
        <w:gridCol w:w="835"/>
        <w:gridCol w:w="957"/>
        <w:gridCol w:w="727"/>
        <w:gridCol w:w="1443"/>
        <w:gridCol w:w="2422"/>
        <w:gridCol w:w="957"/>
        <w:gridCol w:w="1416"/>
        <w:gridCol w:w="1134"/>
      </w:tblGrid>
      <w:tr>
        <w:tblPrEx>
          <w:tblCellMar>
            <w:top w:w="0" w:type="dxa"/>
            <w:left w:w="108" w:type="dxa"/>
            <w:bottom w:w="0" w:type="dxa"/>
            <w:right w:w="108" w:type="dxa"/>
          </w:tblCellMar>
        </w:tblPrEx>
        <w:trPr>
          <w:trHeight w:val="575" w:hRule="atLeast"/>
        </w:trPr>
        <w:tc>
          <w:tcPr>
            <w:tcW w:w="10880" w:type="dxa"/>
            <w:gridSpan w:val="10"/>
            <w:tcBorders>
              <w:top w:val="nil"/>
              <w:left w:val="nil"/>
              <w:bottom w:val="nil"/>
              <w:right w:val="nil"/>
            </w:tcBorders>
            <w:shd w:val="clear" w:color="auto" w:fill="auto"/>
            <w:vAlign w:val="center"/>
          </w:tcPr>
          <w:p>
            <w:pPr>
              <w:jc w:val="center"/>
              <w:rPr>
                <w:rFonts w:ascii="宋体" w:hAnsi="宋体" w:cs="宋体"/>
                <w:b/>
                <w:bCs/>
                <w:color w:val="000000"/>
                <w:kern w:val="0"/>
                <w:sz w:val="32"/>
                <w:szCs w:val="32"/>
              </w:rPr>
            </w:pPr>
            <w:r>
              <w:rPr>
                <w:rFonts w:hint="eastAsia" w:ascii="宋体" w:hAnsi="宋体" w:cs="宋体"/>
                <w:b/>
                <w:bCs/>
                <w:color w:val="000000"/>
                <w:kern w:val="0"/>
                <w:sz w:val="32"/>
                <w:szCs w:val="32"/>
              </w:rPr>
              <w:t>核工业卫生学校2020年公开招聘岗位、计划及要求一览表</w:t>
            </w:r>
          </w:p>
        </w:tc>
      </w:tr>
      <w:tr>
        <w:tblPrEx>
          <w:tblCellMar>
            <w:top w:w="0" w:type="dxa"/>
            <w:left w:w="108" w:type="dxa"/>
            <w:bottom w:w="0" w:type="dxa"/>
            <w:right w:w="108" w:type="dxa"/>
          </w:tblCellMar>
        </w:tblPrEx>
        <w:trPr>
          <w:trHeight w:val="1159" w:hRule="atLeast"/>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b/>
                <w:bCs/>
                <w:kern w:val="0"/>
                <w:sz w:val="22"/>
                <w:szCs w:val="22"/>
              </w:rPr>
            </w:pPr>
            <w:r>
              <w:rPr>
                <w:rFonts w:hint="eastAsia" w:ascii="宋体" w:hAnsi="宋体" w:cs="宋体"/>
                <w:b/>
                <w:bCs/>
                <w:kern w:val="0"/>
                <w:sz w:val="22"/>
                <w:szCs w:val="22"/>
              </w:rPr>
              <w:t>岗位类别</w:t>
            </w: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cs="宋体"/>
                <w:b/>
                <w:bCs/>
                <w:kern w:val="0"/>
                <w:sz w:val="20"/>
              </w:rPr>
            </w:pPr>
            <w:r>
              <w:rPr>
                <w:rFonts w:hint="eastAsia" w:ascii="宋体" w:hAnsi="宋体" w:cs="宋体"/>
                <w:b/>
                <w:bCs/>
                <w:kern w:val="0"/>
                <w:sz w:val="20"/>
              </w:rPr>
              <w:t>岗位    编号</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b/>
                <w:bCs/>
                <w:kern w:val="0"/>
                <w:sz w:val="22"/>
                <w:szCs w:val="22"/>
              </w:rPr>
            </w:pPr>
            <w:r>
              <w:rPr>
                <w:rFonts w:hint="eastAsia" w:ascii="宋体" w:hAnsi="宋体" w:cs="宋体"/>
                <w:b/>
                <w:bCs/>
                <w:kern w:val="0"/>
                <w:sz w:val="22"/>
                <w:szCs w:val="22"/>
              </w:rPr>
              <w:t>科室</w:t>
            </w:r>
          </w:p>
        </w:tc>
        <w:tc>
          <w:tcPr>
            <w:tcW w:w="957"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b/>
                <w:bCs/>
                <w:kern w:val="0"/>
                <w:sz w:val="22"/>
                <w:szCs w:val="22"/>
              </w:rPr>
            </w:pPr>
            <w:r>
              <w:rPr>
                <w:rFonts w:hint="eastAsia" w:ascii="宋体" w:hAnsi="宋体" w:cs="宋体"/>
                <w:b/>
                <w:bCs/>
                <w:kern w:val="0"/>
                <w:sz w:val="22"/>
                <w:szCs w:val="22"/>
              </w:rPr>
              <w:t>岗位</w:t>
            </w:r>
          </w:p>
        </w:tc>
        <w:tc>
          <w:tcPr>
            <w:tcW w:w="727"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b/>
                <w:bCs/>
                <w:kern w:val="0"/>
                <w:sz w:val="22"/>
                <w:szCs w:val="22"/>
              </w:rPr>
            </w:pPr>
            <w:r>
              <w:rPr>
                <w:rFonts w:hint="eastAsia" w:ascii="宋体" w:hAnsi="宋体" w:cs="宋体"/>
                <w:b/>
                <w:bCs/>
                <w:kern w:val="0"/>
                <w:sz w:val="22"/>
                <w:szCs w:val="22"/>
              </w:rPr>
              <w:t>招聘计划</w:t>
            </w:r>
          </w:p>
        </w:tc>
        <w:tc>
          <w:tcPr>
            <w:tcW w:w="1443"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b/>
                <w:bCs/>
                <w:kern w:val="0"/>
                <w:sz w:val="22"/>
                <w:szCs w:val="22"/>
              </w:rPr>
            </w:pPr>
            <w:r>
              <w:rPr>
                <w:rFonts w:hint="eastAsia" w:ascii="宋体" w:hAnsi="宋体" w:cs="宋体"/>
                <w:b/>
                <w:bCs/>
                <w:kern w:val="0"/>
                <w:sz w:val="22"/>
                <w:szCs w:val="22"/>
              </w:rPr>
              <w:t>学历/学位</w:t>
            </w:r>
          </w:p>
        </w:tc>
        <w:tc>
          <w:tcPr>
            <w:tcW w:w="2428"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b/>
                <w:bCs/>
                <w:kern w:val="0"/>
                <w:sz w:val="22"/>
                <w:szCs w:val="22"/>
              </w:rPr>
            </w:pPr>
            <w:r>
              <w:rPr>
                <w:rFonts w:hint="eastAsia" w:ascii="宋体" w:hAnsi="宋体" w:cs="宋体"/>
                <w:b/>
                <w:bCs/>
                <w:kern w:val="0"/>
                <w:sz w:val="22"/>
                <w:szCs w:val="22"/>
              </w:rPr>
              <w:t>专业</w:t>
            </w:r>
          </w:p>
        </w:tc>
        <w:tc>
          <w:tcPr>
            <w:tcW w:w="957"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b/>
                <w:bCs/>
                <w:kern w:val="0"/>
                <w:sz w:val="22"/>
                <w:szCs w:val="22"/>
              </w:rPr>
            </w:pPr>
            <w:r>
              <w:rPr>
                <w:rFonts w:hint="eastAsia" w:ascii="宋体" w:hAnsi="宋体" w:cs="宋体"/>
                <w:b/>
                <w:bCs/>
                <w:kern w:val="0"/>
                <w:sz w:val="22"/>
                <w:szCs w:val="22"/>
              </w:rPr>
              <w:t>年龄</w:t>
            </w:r>
          </w:p>
        </w:tc>
        <w:tc>
          <w:tcPr>
            <w:tcW w:w="1416"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b/>
                <w:bCs/>
                <w:kern w:val="0"/>
                <w:sz w:val="22"/>
                <w:szCs w:val="22"/>
              </w:rPr>
            </w:pPr>
            <w:r>
              <w:rPr>
                <w:rFonts w:hint="eastAsia" w:ascii="宋体" w:hAnsi="宋体" w:cs="宋体"/>
                <w:b/>
                <w:bCs/>
                <w:kern w:val="0"/>
                <w:sz w:val="22"/>
                <w:szCs w:val="22"/>
              </w:rPr>
              <w:t>其他要求</w:t>
            </w:r>
          </w:p>
        </w:tc>
        <w:tc>
          <w:tcPr>
            <w:tcW w:w="1134"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b/>
                <w:bCs/>
                <w:kern w:val="0"/>
                <w:sz w:val="22"/>
                <w:szCs w:val="22"/>
              </w:rPr>
            </w:pPr>
            <w:r>
              <w:rPr>
                <w:rFonts w:hint="eastAsia" w:ascii="宋体" w:hAnsi="宋体" w:cs="宋体"/>
                <w:b/>
                <w:bCs/>
                <w:kern w:val="0"/>
                <w:sz w:val="22"/>
                <w:szCs w:val="22"/>
              </w:rPr>
              <w:t>备注</w:t>
            </w:r>
          </w:p>
        </w:tc>
      </w:tr>
      <w:tr>
        <w:tblPrEx>
          <w:tblCellMar>
            <w:top w:w="0" w:type="dxa"/>
            <w:left w:w="108" w:type="dxa"/>
            <w:bottom w:w="0" w:type="dxa"/>
            <w:right w:w="108" w:type="dxa"/>
          </w:tblCellMar>
        </w:tblPrEx>
        <w:trPr>
          <w:trHeight w:val="871" w:hRule="atLeast"/>
        </w:trPr>
        <w:tc>
          <w:tcPr>
            <w:tcW w:w="431"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C</w:t>
            </w:r>
          </w:p>
        </w:tc>
        <w:tc>
          <w:tcPr>
            <w:tcW w:w="552"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宋体"/>
                <w:kern w:val="0"/>
                <w:sz w:val="20"/>
              </w:rPr>
            </w:pPr>
            <w:r>
              <w:rPr>
                <w:rFonts w:hint="eastAsia" w:ascii="宋体" w:hAnsi="宋体" w:cs="宋体"/>
                <w:kern w:val="0"/>
                <w:sz w:val="20"/>
              </w:rPr>
              <w:t>01</w:t>
            </w:r>
          </w:p>
        </w:tc>
        <w:tc>
          <w:tcPr>
            <w:tcW w:w="835"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人文学科教研室</w:t>
            </w:r>
          </w:p>
        </w:tc>
        <w:tc>
          <w:tcPr>
            <w:tcW w:w="957"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体育教师</w:t>
            </w:r>
          </w:p>
        </w:tc>
        <w:tc>
          <w:tcPr>
            <w:tcW w:w="727"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1</w:t>
            </w:r>
          </w:p>
        </w:tc>
        <w:tc>
          <w:tcPr>
            <w:tcW w:w="1443"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全日制本科（学士）及以上</w:t>
            </w:r>
          </w:p>
        </w:tc>
        <w:tc>
          <w:tcPr>
            <w:tcW w:w="2428"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体育教育、运动训练</w:t>
            </w:r>
          </w:p>
        </w:tc>
        <w:tc>
          <w:tcPr>
            <w:tcW w:w="957"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26岁以下</w:t>
            </w:r>
          </w:p>
        </w:tc>
        <w:tc>
          <w:tcPr>
            <w:tcW w:w="1416"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　</w:t>
            </w:r>
          </w:p>
        </w:tc>
        <w:tc>
          <w:tcPr>
            <w:tcW w:w="1134"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专技岗</w:t>
            </w:r>
          </w:p>
        </w:tc>
      </w:tr>
      <w:tr>
        <w:tblPrEx>
          <w:tblCellMar>
            <w:top w:w="0" w:type="dxa"/>
            <w:left w:w="108" w:type="dxa"/>
            <w:bottom w:w="0" w:type="dxa"/>
            <w:right w:w="108" w:type="dxa"/>
          </w:tblCellMar>
        </w:tblPrEx>
        <w:trPr>
          <w:trHeight w:val="1159" w:hRule="atLeast"/>
        </w:trPr>
        <w:tc>
          <w:tcPr>
            <w:tcW w:w="431" w:type="dxa"/>
            <w:tcBorders>
              <w:top w:val="nil"/>
              <w:left w:val="single" w:color="000000" w:sz="4" w:space="0"/>
              <w:bottom w:val="nil"/>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C</w:t>
            </w:r>
          </w:p>
        </w:tc>
        <w:tc>
          <w:tcPr>
            <w:tcW w:w="552" w:type="dxa"/>
            <w:tcBorders>
              <w:top w:val="nil"/>
              <w:left w:val="single" w:color="auto" w:sz="4" w:space="0"/>
              <w:bottom w:val="nil"/>
              <w:right w:val="single" w:color="auto" w:sz="4" w:space="0"/>
            </w:tcBorders>
            <w:shd w:val="clear" w:color="auto" w:fill="auto"/>
            <w:vAlign w:val="center"/>
          </w:tcPr>
          <w:p>
            <w:pPr>
              <w:jc w:val="center"/>
              <w:rPr>
                <w:rFonts w:ascii="宋体" w:hAnsi="宋体" w:cs="宋体"/>
                <w:kern w:val="0"/>
                <w:sz w:val="20"/>
              </w:rPr>
            </w:pPr>
            <w:r>
              <w:rPr>
                <w:rFonts w:hint="eastAsia" w:ascii="宋体" w:hAnsi="宋体" w:cs="宋体"/>
                <w:kern w:val="0"/>
                <w:sz w:val="20"/>
              </w:rPr>
              <w:t>02</w:t>
            </w:r>
          </w:p>
        </w:tc>
        <w:tc>
          <w:tcPr>
            <w:tcW w:w="835" w:type="dxa"/>
            <w:tcBorders>
              <w:top w:val="nil"/>
              <w:left w:val="single" w:color="000000" w:sz="4" w:space="0"/>
              <w:bottom w:val="nil"/>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自然学科教研室</w:t>
            </w:r>
          </w:p>
        </w:tc>
        <w:tc>
          <w:tcPr>
            <w:tcW w:w="957" w:type="dxa"/>
            <w:tcBorders>
              <w:top w:val="nil"/>
              <w:left w:val="nil"/>
              <w:bottom w:val="nil"/>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计算机教师</w:t>
            </w:r>
          </w:p>
        </w:tc>
        <w:tc>
          <w:tcPr>
            <w:tcW w:w="727" w:type="dxa"/>
            <w:tcBorders>
              <w:top w:val="nil"/>
              <w:left w:val="nil"/>
              <w:bottom w:val="nil"/>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1</w:t>
            </w:r>
          </w:p>
        </w:tc>
        <w:tc>
          <w:tcPr>
            <w:tcW w:w="1443" w:type="dxa"/>
            <w:tcBorders>
              <w:top w:val="nil"/>
              <w:left w:val="nil"/>
              <w:bottom w:val="nil"/>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硕士研究生及以上</w:t>
            </w:r>
          </w:p>
        </w:tc>
        <w:tc>
          <w:tcPr>
            <w:tcW w:w="2428" w:type="dxa"/>
            <w:tcBorders>
              <w:top w:val="nil"/>
              <w:left w:val="nil"/>
              <w:bottom w:val="nil"/>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计算机科学与技术、网络工程、软件工程、数字媒体技术、智能科学与技术、电子与计算机工程</w:t>
            </w:r>
          </w:p>
        </w:tc>
        <w:tc>
          <w:tcPr>
            <w:tcW w:w="957" w:type="dxa"/>
            <w:tcBorders>
              <w:top w:val="nil"/>
              <w:left w:val="nil"/>
              <w:bottom w:val="nil"/>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32岁以下</w:t>
            </w:r>
          </w:p>
        </w:tc>
        <w:tc>
          <w:tcPr>
            <w:tcW w:w="1416" w:type="dxa"/>
            <w:tcBorders>
              <w:top w:val="nil"/>
              <w:left w:val="nil"/>
              <w:bottom w:val="nil"/>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　</w:t>
            </w:r>
          </w:p>
        </w:tc>
        <w:tc>
          <w:tcPr>
            <w:tcW w:w="1134" w:type="dxa"/>
            <w:tcBorders>
              <w:top w:val="nil"/>
              <w:left w:val="nil"/>
              <w:bottom w:val="nil"/>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专技岗</w:t>
            </w:r>
          </w:p>
        </w:tc>
      </w:tr>
      <w:tr>
        <w:tblPrEx>
          <w:tblCellMar>
            <w:top w:w="0" w:type="dxa"/>
            <w:left w:w="108" w:type="dxa"/>
            <w:bottom w:w="0" w:type="dxa"/>
            <w:right w:w="108" w:type="dxa"/>
          </w:tblCellMar>
        </w:tblPrEx>
        <w:trPr>
          <w:trHeight w:val="871" w:hRule="atLeast"/>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C</w:t>
            </w:r>
          </w:p>
        </w:tc>
        <w:tc>
          <w:tcPr>
            <w:tcW w:w="552"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kern w:val="0"/>
                <w:sz w:val="20"/>
              </w:rPr>
            </w:pPr>
            <w:r>
              <w:rPr>
                <w:rFonts w:hint="eastAsia" w:ascii="宋体" w:hAnsi="宋体" w:cs="宋体"/>
                <w:kern w:val="0"/>
                <w:sz w:val="20"/>
              </w:rPr>
              <w:t>03</w:t>
            </w:r>
          </w:p>
        </w:tc>
        <w:tc>
          <w:tcPr>
            <w:tcW w:w="835"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人文学科教研室</w:t>
            </w:r>
          </w:p>
        </w:tc>
        <w:tc>
          <w:tcPr>
            <w:tcW w:w="957"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语文教师</w:t>
            </w:r>
          </w:p>
        </w:tc>
        <w:tc>
          <w:tcPr>
            <w:tcW w:w="727"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1</w:t>
            </w:r>
          </w:p>
        </w:tc>
        <w:tc>
          <w:tcPr>
            <w:tcW w:w="1443"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硕士研究生及以上</w:t>
            </w:r>
          </w:p>
        </w:tc>
        <w:tc>
          <w:tcPr>
            <w:tcW w:w="2428"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文艺学、语言学及应用语言学、汉语言文字学、中国现代文学</w:t>
            </w:r>
          </w:p>
        </w:tc>
        <w:tc>
          <w:tcPr>
            <w:tcW w:w="957"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32岁以下</w:t>
            </w:r>
          </w:p>
        </w:tc>
        <w:tc>
          <w:tcPr>
            <w:tcW w:w="1416"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　</w:t>
            </w:r>
          </w:p>
        </w:tc>
        <w:tc>
          <w:tcPr>
            <w:tcW w:w="1134" w:type="dxa"/>
            <w:tcBorders>
              <w:top w:val="single" w:color="000000" w:sz="4" w:space="0"/>
              <w:left w:val="nil"/>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专技岗</w:t>
            </w:r>
          </w:p>
        </w:tc>
      </w:tr>
      <w:tr>
        <w:tblPrEx>
          <w:tblCellMar>
            <w:top w:w="0" w:type="dxa"/>
            <w:left w:w="108" w:type="dxa"/>
            <w:bottom w:w="0" w:type="dxa"/>
            <w:right w:w="108" w:type="dxa"/>
          </w:tblCellMar>
        </w:tblPrEx>
        <w:trPr>
          <w:trHeight w:val="584" w:hRule="atLeast"/>
        </w:trPr>
        <w:tc>
          <w:tcPr>
            <w:tcW w:w="431"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552"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0"/>
              </w:rPr>
            </w:pPr>
            <w:r>
              <w:rPr>
                <w:rFonts w:hint="eastAsia" w:ascii="宋体" w:hAnsi="宋体" w:cs="宋体"/>
                <w:kern w:val="0"/>
                <w:sz w:val="20"/>
              </w:rPr>
              <w:t>　</w:t>
            </w:r>
          </w:p>
        </w:tc>
        <w:tc>
          <w:tcPr>
            <w:tcW w:w="835"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957"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27"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3</w:t>
            </w:r>
          </w:p>
        </w:tc>
        <w:tc>
          <w:tcPr>
            <w:tcW w:w="1443"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　</w:t>
            </w:r>
          </w:p>
        </w:tc>
        <w:tc>
          <w:tcPr>
            <w:tcW w:w="2428"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　</w:t>
            </w:r>
          </w:p>
        </w:tc>
        <w:tc>
          <w:tcPr>
            <w:tcW w:w="957"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　</w:t>
            </w:r>
          </w:p>
        </w:tc>
        <w:tc>
          <w:tcPr>
            <w:tcW w:w="1416"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kern w:val="0"/>
                <w:sz w:val="22"/>
                <w:szCs w:val="22"/>
              </w:rPr>
            </w:pPr>
            <w:r>
              <w:rPr>
                <w:rFonts w:hint="eastAsia" w:ascii="宋体" w:hAnsi="宋体" w:cs="宋体"/>
                <w:kern w:val="0"/>
                <w:sz w:val="22"/>
                <w:szCs w:val="22"/>
              </w:rPr>
              <w:t>　</w:t>
            </w:r>
          </w:p>
        </w:tc>
        <w:tc>
          <w:tcPr>
            <w:tcW w:w="1134" w:type="dxa"/>
            <w:tcBorders>
              <w:top w:val="nil"/>
              <w:left w:val="nil"/>
              <w:bottom w:val="single" w:color="000000" w:sz="4" w:space="0"/>
              <w:right w:val="single" w:color="000000" w:sz="4" w:space="0"/>
            </w:tcBorders>
            <w:shd w:val="clear" w:color="auto" w:fill="auto"/>
            <w:vAlign w:val="center"/>
          </w:tcPr>
          <w:p>
            <w:pPr>
              <w:jc w:val="center"/>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297" w:hRule="atLeast"/>
        </w:trPr>
        <w:tc>
          <w:tcPr>
            <w:tcW w:w="10880" w:type="dxa"/>
            <w:gridSpan w:val="10"/>
            <w:tcBorders>
              <w:top w:val="nil"/>
              <w:left w:val="nil"/>
              <w:bottom w:val="nil"/>
              <w:right w:val="nil"/>
            </w:tcBorders>
            <w:shd w:val="clear" w:color="auto" w:fill="auto"/>
            <w:noWrap/>
            <w:vAlign w:val="center"/>
          </w:tcPr>
          <w:p>
            <w:pPr>
              <w:jc w:val="left"/>
              <w:rPr>
                <w:rFonts w:ascii="宋体" w:hAnsi="宋体" w:cs="宋体"/>
                <w:color w:val="000000"/>
                <w:kern w:val="0"/>
                <w:sz w:val="22"/>
                <w:szCs w:val="22"/>
              </w:rPr>
            </w:pPr>
            <w:r>
              <w:rPr>
                <w:rFonts w:hint="eastAsia" w:ascii="宋体" w:hAnsi="宋体" w:cs="宋体"/>
                <w:color w:val="000000"/>
                <w:kern w:val="0"/>
                <w:sz w:val="22"/>
                <w:szCs w:val="22"/>
              </w:rPr>
              <w:t xml:space="preserve">备注：年龄要求：32岁以下指1988年1月1日以后出生，其他以此类推。                          </w:t>
            </w:r>
          </w:p>
        </w:tc>
      </w:tr>
    </w:tbl>
    <w:p>
      <w:pPr>
        <w:jc w:val="center"/>
        <w:textAlignment w:val="center"/>
        <w:rPr>
          <w:rFonts w:hint="eastAsia" w:ascii="宋体" w:hAnsi="宋体" w:cs="宋体"/>
          <w:b/>
          <w:bCs/>
          <w:kern w:val="0"/>
          <w:sz w:val="48"/>
          <w:szCs w:val="48"/>
        </w:rPr>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405" w:lineRule="atLeast"/>
        <w:ind w:leftChars="0" w:right="0" w:rightChars="0"/>
        <w:textAlignment w:val="baseline"/>
        <w:rPr>
          <w:rFonts w:hint="eastAsia" w:ascii="微软雅黑" w:hAnsi="微软雅黑" w:eastAsia="微软雅黑" w:cs="微软雅黑"/>
          <w:i w:val="0"/>
          <w:caps w:val="0"/>
          <w:color w:val="111111"/>
          <w:spacing w:val="0"/>
          <w:sz w:val="27"/>
          <w:szCs w:val="27"/>
          <w:shd w:val="clear" w:fill="FFFFFF"/>
          <w:vertAlign w:val="baseline"/>
        </w:rPr>
      </w:pPr>
    </w:p>
    <w:p>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405" w:lineRule="atLeast"/>
        <w:ind w:left="0" w:leftChars="0" w:right="0" w:firstLine="0" w:firstLineChars="0"/>
        <w:textAlignment w:val="baseline"/>
        <w:rPr>
          <w:rFonts w:hint="eastAsia" w:ascii="微软雅黑" w:hAnsi="微软雅黑" w:eastAsia="微软雅黑" w:cs="微软雅黑"/>
          <w:i w:val="0"/>
          <w:caps w:val="0"/>
          <w:color w:val="111111"/>
          <w:spacing w:val="0"/>
          <w:sz w:val="27"/>
          <w:szCs w:val="27"/>
          <w:shd w:val="clear" w:fill="FFFFFF"/>
          <w:vertAlign w:val="baseline"/>
        </w:rPr>
      </w:pPr>
      <w:r>
        <w:rPr>
          <w:rFonts w:hint="eastAsia" w:ascii="微软雅黑" w:hAnsi="微软雅黑" w:eastAsia="微软雅黑" w:cs="微软雅黑"/>
          <w:i w:val="0"/>
          <w:caps w:val="0"/>
          <w:color w:val="111111"/>
          <w:spacing w:val="0"/>
          <w:sz w:val="27"/>
          <w:szCs w:val="27"/>
          <w:shd w:val="clear" w:fill="FFFFFF"/>
          <w:vertAlign w:val="baseline"/>
        </w:rPr>
        <w:t>衡阳市市直公立医疗卫生单位优秀卫生技术人员需求目录</w:t>
      </w:r>
      <w:r>
        <w:rPr>
          <w:rFonts w:hint="eastAsia" w:ascii="微软雅黑" w:hAnsi="微软雅黑" w:eastAsia="微软雅黑" w:cs="微软雅黑"/>
          <w:i w:val="0"/>
          <w:caps w:val="0"/>
          <w:color w:val="111111"/>
          <w:spacing w:val="0"/>
          <w:sz w:val="27"/>
          <w:szCs w:val="27"/>
          <w:lang w:eastAsia="zh-CN"/>
        </w:rPr>
        <w:t>（带编）</w:t>
      </w:r>
    </w:p>
    <w:tbl>
      <w:tblPr>
        <w:tblStyle w:val="5"/>
        <w:tblpPr w:leftFromText="180" w:rightFromText="180" w:vertAnchor="text" w:horzAnchor="margin" w:tblpXSpec="center" w:tblpY="170"/>
        <w:tblW w:w="10335" w:type="dxa"/>
        <w:jc w:val="center"/>
        <w:tblLayout w:type="fixed"/>
        <w:tblCellMar>
          <w:top w:w="15" w:type="dxa"/>
          <w:left w:w="15" w:type="dxa"/>
          <w:bottom w:w="15" w:type="dxa"/>
          <w:right w:w="15" w:type="dxa"/>
        </w:tblCellMar>
      </w:tblPr>
      <w:tblGrid>
        <w:gridCol w:w="474"/>
        <w:gridCol w:w="1380"/>
        <w:gridCol w:w="1262"/>
        <w:gridCol w:w="375"/>
        <w:gridCol w:w="968"/>
        <w:gridCol w:w="1993"/>
        <w:gridCol w:w="626"/>
        <w:gridCol w:w="3257"/>
      </w:tblGrid>
      <w:tr>
        <w:tblPrEx>
          <w:tblCellMar>
            <w:top w:w="15" w:type="dxa"/>
            <w:left w:w="15" w:type="dxa"/>
            <w:bottom w:w="15" w:type="dxa"/>
            <w:right w:w="15" w:type="dxa"/>
          </w:tblCellMar>
        </w:tblPrEx>
        <w:trPr>
          <w:trHeight w:val="347" w:hRule="atLeast"/>
          <w:tblHeader/>
          <w:jc w:val="center"/>
        </w:trPr>
        <w:tc>
          <w:tcPr>
            <w:tcW w:w="474" w:type="dxa"/>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b w:val="0"/>
                <w:bCs w:val="0"/>
                <w:color w:val="000000"/>
                <w:kern w:val="0"/>
                <w:sz w:val="24"/>
                <w:szCs w:val="24"/>
              </w:rPr>
            </w:pPr>
            <w:r>
              <w:rPr>
                <w:rFonts w:hint="eastAsia" w:ascii="方正仿宋简体" w:hAnsi="方正仿宋简体" w:eastAsia="方正仿宋简体" w:cs="方正仿宋简体"/>
                <w:b w:val="0"/>
                <w:bCs w:val="0"/>
                <w:color w:val="000000"/>
                <w:kern w:val="0"/>
                <w:sz w:val="24"/>
                <w:szCs w:val="24"/>
              </w:rPr>
              <w:t>序号</w:t>
            </w:r>
          </w:p>
        </w:tc>
        <w:tc>
          <w:tcPr>
            <w:tcW w:w="138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b w:val="0"/>
                <w:bCs w:val="0"/>
                <w:color w:val="000000"/>
                <w:kern w:val="0"/>
                <w:sz w:val="24"/>
                <w:szCs w:val="24"/>
              </w:rPr>
            </w:pPr>
            <w:r>
              <w:rPr>
                <w:rFonts w:hint="eastAsia" w:ascii="方正仿宋简体" w:hAnsi="方正仿宋简体" w:eastAsia="方正仿宋简体" w:cs="方正仿宋简体"/>
                <w:b w:val="0"/>
                <w:bCs w:val="0"/>
                <w:color w:val="000000"/>
                <w:kern w:val="0"/>
                <w:sz w:val="24"/>
                <w:szCs w:val="24"/>
              </w:rPr>
              <w:t>用人单位</w:t>
            </w:r>
          </w:p>
        </w:tc>
        <w:tc>
          <w:tcPr>
            <w:tcW w:w="1262" w:type="dxa"/>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b w:val="0"/>
                <w:bCs w:val="0"/>
                <w:color w:val="000000"/>
                <w:kern w:val="0"/>
                <w:sz w:val="24"/>
                <w:szCs w:val="24"/>
              </w:rPr>
            </w:pPr>
            <w:r>
              <w:rPr>
                <w:rFonts w:hint="eastAsia" w:ascii="方正仿宋简体" w:hAnsi="方正仿宋简体" w:eastAsia="方正仿宋简体" w:cs="方正仿宋简体"/>
                <w:b w:val="0"/>
                <w:bCs w:val="0"/>
                <w:color w:val="000000"/>
                <w:kern w:val="0"/>
                <w:sz w:val="24"/>
                <w:szCs w:val="24"/>
              </w:rPr>
              <w:t>需求岗位</w:t>
            </w:r>
          </w:p>
        </w:tc>
        <w:tc>
          <w:tcPr>
            <w:tcW w:w="375" w:type="dxa"/>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b w:val="0"/>
                <w:bCs w:val="0"/>
                <w:color w:val="000000"/>
                <w:kern w:val="0"/>
                <w:sz w:val="24"/>
                <w:szCs w:val="24"/>
              </w:rPr>
            </w:pPr>
            <w:r>
              <w:rPr>
                <w:rFonts w:hint="eastAsia" w:ascii="方正仿宋简体" w:hAnsi="方正仿宋简体" w:eastAsia="方正仿宋简体" w:cs="方正仿宋简体"/>
                <w:b w:val="0"/>
                <w:bCs w:val="0"/>
                <w:color w:val="000000"/>
                <w:kern w:val="0"/>
                <w:sz w:val="24"/>
                <w:szCs w:val="24"/>
              </w:rPr>
              <w:t>人数</w:t>
            </w:r>
          </w:p>
        </w:tc>
        <w:tc>
          <w:tcPr>
            <w:tcW w:w="968" w:type="dxa"/>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b w:val="0"/>
                <w:bCs w:val="0"/>
                <w:color w:val="000000"/>
                <w:kern w:val="0"/>
                <w:sz w:val="24"/>
                <w:szCs w:val="24"/>
              </w:rPr>
            </w:pPr>
            <w:r>
              <w:rPr>
                <w:rFonts w:hint="eastAsia" w:ascii="方正仿宋简体" w:hAnsi="方正仿宋简体" w:eastAsia="方正仿宋简体" w:cs="方正仿宋简体"/>
                <w:b w:val="0"/>
                <w:bCs w:val="0"/>
                <w:color w:val="000000"/>
                <w:kern w:val="0"/>
                <w:sz w:val="24"/>
                <w:szCs w:val="24"/>
              </w:rPr>
              <w:t>学历学位</w:t>
            </w:r>
          </w:p>
        </w:tc>
        <w:tc>
          <w:tcPr>
            <w:tcW w:w="1993" w:type="dxa"/>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b w:val="0"/>
                <w:bCs w:val="0"/>
                <w:color w:val="000000"/>
                <w:kern w:val="0"/>
                <w:sz w:val="24"/>
                <w:szCs w:val="24"/>
              </w:rPr>
            </w:pPr>
            <w:r>
              <w:rPr>
                <w:rFonts w:hint="eastAsia" w:ascii="方正仿宋简体" w:hAnsi="方正仿宋简体" w:eastAsia="方正仿宋简体" w:cs="方正仿宋简体"/>
                <w:b w:val="0"/>
                <w:bCs w:val="0"/>
                <w:color w:val="000000"/>
                <w:kern w:val="0"/>
                <w:sz w:val="24"/>
                <w:szCs w:val="24"/>
              </w:rPr>
              <w:t>专业要求</w:t>
            </w:r>
          </w:p>
        </w:tc>
        <w:tc>
          <w:tcPr>
            <w:tcW w:w="626" w:type="dxa"/>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b w:val="0"/>
                <w:bCs w:val="0"/>
                <w:color w:val="000000"/>
                <w:kern w:val="0"/>
                <w:sz w:val="24"/>
                <w:szCs w:val="24"/>
              </w:rPr>
            </w:pPr>
            <w:r>
              <w:rPr>
                <w:rFonts w:hint="eastAsia" w:ascii="方正仿宋简体" w:hAnsi="方正仿宋简体" w:eastAsia="方正仿宋简体" w:cs="方正仿宋简体"/>
                <w:b w:val="0"/>
                <w:bCs w:val="0"/>
                <w:color w:val="000000"/>
                <w:kern w:val="0"/>
                <w:sz w:val="24"/>
                <w:szCs w:val="24"/>
              </w:rPr>
              <w:t>年龄</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b w:val="0"/>
                <w:bCs w:val="0"/>
                <w:color w:val="000000"/>
                <w:kern w:val="0"/>
                <w:sz w:val="24"/>
                <w:szCs w:val="24"/>
              </w:rPr>
            </w:pPr>
            <w:r>
              <w:rPr>
                <w:rFonts w:hint="eastAsia" w:ascii="方正仿宋简体" w:hAnsi="方正仿宋简体" w:eastAsia="方正仿宋简体" w:cs="方正仿宋简体"/>
                <w:b w:val="0"/>
                <w:bCs w:val="0"/>
                <w:color w:val="000000"/>
                <w:kern w:val="0"/>
                <w:sz w:val="24"/>
                <w:szCs w:val="24"/>
              </w:rPr>
              <w:t>要求</w:t>
            </w:r>
          </w:p>
        </w:tc>
        <w:tc>
          <w:tcPr>
            <w:tcW w:w="3257" w:type="dxa"/>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b w:val="0"/>
                <w:bCs w:val="0"/>
                <w:color w:val="000000"/>
                <w:kern w:val="0"/>
                <w:sz w:val="24"/>
                <w:szCs w:val="24"/>
              </w:rPr>
            </w:pPr>
            <w:r>
              <w:rPr>
                <w:rFonts w:hint="eastAsia" w:ascii="方正仿宋简体" w:hAnsi="方正仿宋简体" w:eastAsia="方正仿宋简体" w:cs="方正仿宋简体"/>
                <w:b w:val="0"/>
                <w:bCs w:val="0"/>
                <w:color w:val="000000"/>
                <w:kern w:val="0"/>
                <w:sz w:val="24"/>
                <w:szCs w:val="24"/>
              </w:rPr>
              <w:t>其它要求</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耳鼻咽喉科1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耳鼻咽喉科学、临床医学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肝胆外科1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骨科1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老年病科1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老年医学、临床医学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麻醉科1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麻醉学、临床医学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泌尿外科1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内分泌代谢病科1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普儿科1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肾内科一病区1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胃肠外科1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消化内科1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心胸外科1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心血管内科1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肿瘤内科1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肿瘤学、内科学、临床医学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重症医学科1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急诊医学、临床医学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35" w:hRule="exac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病案统计室</w:t>
            </w:r>
            <w:r>
              <w:rPr>
                <w:rFonts w:hint="eastAsia" w:ascii="方正仿宋简体" w:hAnsi="方正仿宋简体" w:eastAsia="方正仿宋简体" w:cs="方正仿宋简体"/>
                <w:color w:val="000000"/>
                <w:kern w:val="0"/>
                <w:sz w:val="24"/>
                <w:szCs w:val="24"/>
              </w:rPr>
              <w:br w:type="textWrapping"/>
            </w:r>
            <w:r>
              <w:rPr>
                <w:rFonts w:hint="eastAsia" w:ascii="方正仿宋简体" w:hAnsi="方正仿宋简体" w:eastAsia="方正仿宋简体" w:cs="方正仿宋简体"/>
                <w:color w:val="000000"/>
                <w:kern w:val="0"/>
                <w:sz w:val="24"/>
                <w:szCs w:val="24"/>
              </w:rPr>
              <w:t>（病案编码）</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流行病与卫生统计学、临床医学类</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病案统计室</w:t>
            </w:r>
            <w:r>
              <w:rPr>
                <w:rFonts w:hint="eastAsia" w:ascii="方正仿宋简体" w:hAnsi="方正仿宋简体" w:eastAsia="方正仿宋简体" w:cs="方正仿宋简体"/>
                <w:color w:val="000000"/>
                <w:kern w:val="0"/>
                <w:sz w:val="24"/>
                <w:szCs w:val="24"/>
              </w:rPr>
              <w:br w:type="textWrapping"/>
            </w:r>
            <w:r>
              <w:rPr>
                <w:rFonts w:hint="eastAsia" w:ascii="方正仿宋简体" w:hAnsi="方正仿宋简体" w:eastAsia="方正仿宋简体" w:cs="方正仿宋简体"/>
                <w:color w:val="000000"/>
                <w:kern w:val="0"/>
                <w:sz w:val="24"/>
                <w:szCs w:val="24"/>
              </w:rPr>
              <w:t>（统计）</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流行病与卫生统计学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18</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病理科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病理学与病理生理学、临床医学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 xml:space="preserve"> 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19</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产科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超声科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影像医学与核医学、临床医学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 xml:space="preserve"> 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儿童康复科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耳鼻咽喉科2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耳鼻咽喉科学、临床医学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 xml:space="preserve"> 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肝胆外科2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感染科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骨科2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核医学科</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临床医学、影像医学与核医学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呼吸内科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28</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护理部</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护理学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29</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急诊医学二科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急诊医学、内科学、临床医学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急诊医学一科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急诊医学、内科学、临床医学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健康体检科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康复医学科1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针灸推拿学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 xml:space="preserve"> 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康复医学科2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康复医学与理疗学、临床医学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 xml:space="preserve"> 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口腔科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口腔医学、临床医学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 xml:space="preserve"> 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老年病科2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老年医学、内科学、临床医学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麻醉科2</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麻醉学、临床医学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泌尿外科2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38</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内分泌代谢病科2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39</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皮肤性病科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皮肤病与性病学、临床医学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 xml:space="preserve"> 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普儿科2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全科医学科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执业资格证书的执业范围为全科医学专业。</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乳甲外科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烧伤整形科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神经内科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神经病学、内科学、临床医学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神经内科三病区</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神经病学、内科学、临床医学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神经外科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肾内科二病区</w:t>
            </w:r>
            <w:r>
              <w:rPr>
                <w:rFonts w:hint="eastAsia" w:ascii="方正仿宋简体" w:hAnsi="方正仿宋简体" w:eastAsia="方正仿宋简体" w:cs="方正仿宋简体"/>
                <w:color w:val="000000"/>
                <w:kern w:val="0"/>
                <w:sz w:val="24"/>
                <w:szCs w:val="24"/>
              </w:rPr>
              <w:br w:type="textWrapping"/>
            </w:r>
            <w:r>
              <w:rPr>
                <w:rFonts w:hint="eastAsia" w:ascii="方正仿宋简体" w:hAnsi="方正仿宋简体" w:eastAsia="方正仿宋简体" w:cs="方正仿宋简体"/>
                <w:color w:val="000000"/>
                <w:kern w:val="0"/>
                <w:sz w:val="24"/>
                <w:szCs w:val="24"/>
              </w:rPr>
              <w:t>（血透室）</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48</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肾内科一病区2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49</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输血科技师</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临床检验诊断学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输血科医师</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临床医学、临床检验诊断学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司法鉴定</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法医学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胃肠外科2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消化内科2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小儿外科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心功能室</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心胸外科2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心血管内科2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58</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心血管内科三病区</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59</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新生儿科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血液内科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眼科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眼科、临床医学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 xml:space="preserve"> 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药剂科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药学、药理学、药剂学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医学检验科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临床检验诊断学、病原生物学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医学影像科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影像医学与核医学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营养科</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 xml:space="preserve">营养与食品卫生学   </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中医科</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中医内科学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 xml:space="preserve"> 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肿瘤内科2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肿瘤学、内科学、临床医学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68</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重症医学科2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内科学、外科学、临床医学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69</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普儿科3</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教育部“双一流”大学的全日制本科毕业生；执业资格证书的执业范围为儿科专业。</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产科副主任医师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具有妇产科学副主任医师职称；</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三级甲等综合医院2年及以上工作经历。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骨科副主任医师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具有骨科副主任医师职称；</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三级甲等综合医院2年及以上工作经历。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副主任护师</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护理学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具有副主任护师职称；三级甲等综合医院2年及以上临床护理工作经历。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口腔科副主任医师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具有口腔修复副主任医师职称；三级甲等综合医院2年及以上工作经历。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老年病科副主任医师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具有内分泌副主任医师职称；三级甲等综合医院2年及以上工作经历。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神经内科副主任医师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具有神经内科学副主任医师职称；三级甲等综合医院2年及以上工作经历。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新生儿科副主任医师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具有新生儿科副主任医师职称；三级甲等综合医院2年及以上工作经历。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衡阳市中心医院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医学检验科副主任技师</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医学检验</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具有临床医学检验技术副主任技师职称；三级甲等综合医院2年及以上工作经历。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ICU副主任医师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具有重症医学副主任医师职称；</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在三级医院有2年及以上工作经历。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79</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妇产科副主医师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临床医学、中西医临床医学、中医学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具有中医妇科、妇科副主任医师职称；</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在三级医院有2年及以上工作经历。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80</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推拿科男医师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针灸推拿学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81</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心血管科医师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kern w:val="0"/>
                <w:sz w:val="24"/>
                <w:szCs w:val="24"/>
              </w:rPr>
            </w:pPr>
            <w:r>
              <w:rPr>
                <w:rFonts w:hint="eastAsia" w:ascii="方正仿宋简体" w:hAnsi="方正仿宋简体" w:eastAsia="方正仿宋简体" w:cs="方正仿宋简体"/>
                <w:kern w:val="0"/>
                <w:sz w:val="24"/>
                <w:szCs w:val="24"/>
              </w:rPr>
              <w:t>中医、中医内科学、中西医结合临床</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肿瘤科医师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kern w:val="0"/>
                <w:sz w:val="24"/>
                <w:szCs w:val="24"/>
              </w:rPr>
            </w:pPr>
            <w:r>
              <w:rPr>
                <w:rFonts w:hint="eastAsia" w:ascii="方正仿宋简体" w:hAnsi="方正仿宋简体" w:eastAsia="方正仿宋简体" w:cs="方正仿宋简体"/>
                <w:kern w:val="0"/>
                <w:sz w:val="24"/>
                <w:szCs w:val="24"/>
              </w:rPr>
              <w:t>中医、中医内科学、中医外科学、中西医结合临床</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83</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肾病科医师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kern w:val="0"/>
                <w:sz w:val="24"/>
                <w:szCs w:val="24"/>
              </w:rPr>
            </w:pPr>
            <w:r>
              <w:rPr>
                <w:rFonts w:hint="eastAsia" w:ascii="方正仿宋简体" w:hAnsi="方正仿宋简体" w:eastAsia="方正仿宋简体" w:cs="方正仿宋简体"/>
                <w:kern w:val="0"/>
                <w:sz w:val="24"/>
                <w:szCs w:val="24"/>
              </w:rPr>
              <w:t>中医、中医内科学、中西医结合临床</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84</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消化内科医师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kern w:val="0"/>
                <w:sz w:val="24"/>
                <w:szCs w:val="24"/>
              </w:rPr>
            </w:pPr>
            <w:r>
              <w:rPr>
                <w:rFonts w:hint="eastAsia" w:ascii="方正仿宋简体" w:hAnsi="方正仿宋简体" w:eastAsia="方正仿宋简体" w:cs="方正仿宋简体"/>
                <w:kern w:val="0"/>
                <w:sz w:val="24"/>
                <w:szCs w:val="24"/>
              </w:rPr>
              <w:t>中医、中医内科学、中西医结合临床</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肛肠科医师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kern w:val="0"/>
                <w:sz w:val="24"/>
                <w:szCs w:val="24"/>
              </w:rPr>
            </w:pPr>
            <w:r>
              <w:rPr>
                <w:rFonts w:hint="eastAsia" w:ascii="方正仿宋简体" w:hAnsi="方正仿宋简体" w:eastAsia="方正仿宋简体" w:cs="方正仿宋简体"/>
                <w:kern w:val="0"/>
                <w:sz w:val="24"/>
                <w:szCs w:val="24"/>
              </w:rPr>
              <w:t>中医、中医外科学、中西医结合临床</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86</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急诊、ICU医师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急诊医学、临床医学、中西医结合临床、中医、内科学、中医内科学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kern w:val="0"/>
                <w:sz w:val="24"/>
                <w:szCs w:val="24"/>
              </w:rPr>
            </w:pPr>
            <w:r>
              <w:rPr>
                <w:rFonts w:hint="eastAsia" w:ascii="方正仿宋简体" w:hAnsi="方正仿宋简体" w:eastAsia="方正仿宋简体" w:cs="方正仿宋简体"/>
                <w:kern w:val="0"/>
                <w:sz w:val="24"/>
                <w:szCs w:val="24"/>
              </w:rPr>
              <w:t>中医妇科学、中西医结合临床</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89</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职业病科医师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kern w:val="0"/>
                <w:sz w:val="24"/>
                <w:szCs w:val="24"/>
              </w:rPr>
            </w:pPr>
            <w:r>
              <w:rPr>
                <w:rFonts w:hint="eastAsia" w:ascii="方正仿宋简体" w:hAnsi="方正仿宋简体" w:eastAsia="方正仿宋简体" w:cs="方正仿宋简体"/>
                <w:kern w:val="0"/>
                <w:sz w:val="24"/>
                <w:szCs w:val="24"/>
              </w:rPr>
              <w:t>中医、中西医结合临床</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90</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门诊医师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中医、中西医结合临床</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91</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病理</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临床医学、病理学与病理生理学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取得国家住院医师规范化培训证书。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检验师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临床检验诊断学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93</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药剂师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中药学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94</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衡阳市中医医院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护理</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护理</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产科1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博士研究生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98</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妇科2</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妇产科学</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FF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99</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妇科3</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中医妇科学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产科2</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6</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FF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妇产科ICU</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急诊医学</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（重症医学方向）</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儿科2</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儿科学</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FF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新生儿科</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儿科学</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FF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儿童保健科</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儿科学</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FF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儿科3</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中医儿科学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儿童康复科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儿科学、</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康复医学与理疗学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乳腺外科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108</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皮肤科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皮肤病与性病学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109</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麻醉科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麻醉学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110</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检验科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临床检验诊断学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全日制本科专业为医学检验技术。</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超声医学科</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影像医学与核医学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放射科</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影像医学与核医学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五官科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耳鼻咽喉科学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眼科</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眼科学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护理部</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护理学类</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药学部</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药学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全日制本科专业为临床药学。</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保健部1</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公共卫生与预防医学类</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118</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保健部2</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少儿卫生与妇幼保健学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119</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保健部3</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营养与食品卫生学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保健部4</w:t>
            </w:r>
          </w:p>
        </w:tc>
        <w:tc>
          <w:tcPr>
            <w:tcW w:w="3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流行病与卫生统计学</w:t>
            </w:r>
          </w:p>
        </w:tc>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重症医学副主任医师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具有重症医学副主任医师职称。</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中医妇科学副主任医师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具有中医妇科学副主任医师职称。</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中医儿科学副主任医师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具有中医儿科学副主任医师职称。</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儿科学或康复医学副主任医师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临床医学、康复医学与理疗学</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具有儿科学或康复医学副主任医师职称。</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皮肤与性病学副主任医师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具有皮肤与性病学副主任医师职称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放射医学副主任医师</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医学影像学</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45周岁以下</w:t>
            </w:r>
          </w:p>
        </w:tc>
        <w:tc>
          <w:tcPr>
            <w:tcW w:w="32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具有放射医学副主任医师职称。</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门急诊科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教育部“双一流”大学的全日制本科毕业生；执业资格证书的执业范围为急救医学专业。</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病理学</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教育部“双一流”大学的全日制本科毕业生；执业资格证书的执业范围为医学检验、病理专业。</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129</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儿科4</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教育部“双一流”大学的全日制本科毕业生；执业资格证书的执业范围为儿科专业。</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130</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妇产科重症ICU</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教育部“双一流”大学的全日制本科毕业生；执业资格证书的执业范围为重症医学专业。</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131</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衡阳市妇幼保健院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儿童康复科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教育部“双一流”大学的全日制本科毕业生；执业资格证书的执业范围为儿科专业或康复医学专业。</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儿科副主任</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具有儿科副主任医师职称。</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133</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泌尿外科</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副主任医师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具有泌尿外科副主任医师职称；在三级医院有2年及以上工作经历。</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134</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呼吸内科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重症医学科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内科学、麻醉学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136</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心胸外科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血透中心</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脊柱外科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139</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耳鼻喉科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耳鼻咽喉科学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140</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中医科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针灸推拿学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141</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神经外科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外科学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妇产科学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143</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消化内科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144</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儿科医师1</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肿瘤内科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肿瘤学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146</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神经内科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神经病学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心血管内科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内分泌科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149</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老年病科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老年医学、内科学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150</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医学影像</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影像医学与核医学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151</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病理科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病理学与病理生理学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检验科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临床检验诊断学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153</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眼科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眼科学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衡阳市第一人民医院</w:t>
            </w:r>
          </w:p>
        </w:tc>
        <w:tc>
          <w:tcPr>
            <w:tcW w:w="12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儿科医师2</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教育部“双一流”大学的全日制本科毕业生；取得国家住院医师规范化培训证书。</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衡阳市疾控中心</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公卫医生1</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4</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         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公共卫生</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全日制本科为预防医学、食品卫生与营养学、临床医学、医学检验技术、卫生检验与检疫专业。</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156</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衡阳市疾控中心</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公卫医生2</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         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流行病与卫生统计学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全日制本科为预防医学、食品卫生与营养学、临床医学、医学检验技术、卫生检验与检疫专业。</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衡阳市疾控中心</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公卫医生3</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         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劳动卫生与环境卫生学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全日制本科为预防医学、食品卫生与营养学、临床医学、医学检验技术、卫生检验与检疫专业。</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衡阳市疾控中心</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公卫医生4</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         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营养与食品卫生学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全日制本科为预防医学、食品卫生与营养学、临床医学、医学检验技术、卫生检验与检疫专业。</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159</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衡阳市疾控中心</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公卫医生5</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         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卫生毒理学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全日制本科为预防医学、食品卫生与营养学、临床医学、医学检验技术、卫生检验与检疫专业。</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160</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衡阳市疾控中心</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公卫医生6</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          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预防医学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教育部“双一流”大学全日制本科毕业生。</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161</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衡阳市疾控中心</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检验人员</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        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卫生检验与检疫、医学检验技术</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教育部“双一流”大学全日制本科毕业生。</w:t>
            </w:r>
          </w:p>
        </w:tc>
      </w:tr>
      <w:tr>
        <w:tblPrEx>
          <w:tblCellMar>
            <w:top w:w="15" w:type="dxa"/>
            <w:left w:w="15" w:type="dxa"/>
            <w:bottom w:w="15" w:type="dxa"/>
            <w:right w:w="15" w:type="dxa"/>
          </w:tblCellMar>
        </w:tblPrEx>
        <w:trPr>
          <w:trHeight w:val="424"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衡阳市中心血站</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血液检测岗</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免疫学、病原生物学、病理学与病理生理学、公共卫生</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163</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衡阳市第三人民医院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临床医生1</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临床医学类</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164</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衡阳市第三人民医院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临床医生2</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衡阳市第三人民医院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临床医生3</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中西医临床医学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166</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衡阳市第三人民医院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麻醉医生</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临床医学、麻醉学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衡阳市第三人民医院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放射医生</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临床医学、放射医学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衡阳市第三人民医院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临床护理</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护理学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169</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衡阳市第四人民医院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针灸推拿医师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针灸推拿学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170</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衡阳市第四人民医院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临床医师1</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9</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171</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衡阳市第四人民医院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临床医师2</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中医学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衡阳市第五人民医院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8</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173</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衡阳市第五人民医院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医学影像</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医学影像学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174</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衡阳市第五人民医院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麻醉医师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麻醉学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衡阳市第二人民医院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精神科医师1</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精神病与精神卫生学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176</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衡阳市第二人民医院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5</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内科学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衡阳市第二人民医院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精神科医师2</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临床医学、精神医学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衡阳市第二人民医院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临床特检</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临床医学、医学影像学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179</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衡阳市干部疗养院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r>
              <w:rPr>
                <w:rFonts w:hint="eastAsia" w:ascii="方正仿宋简体" w:hAnsi="方正仿宋简体" w:eastAsia="方正仿宋简体" w:cs="方正仿宋简体"/>
                <w:color w:val="000000"/>
                <w:kern w:val="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kern w:val="0"/>
                <w:sz w:val="24"/>
                <w:szCs w:val="24"/>
              </w:rPr>
            </w:pP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180</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衡阳市第二精神病医院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临床医生1</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5</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181</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衡阳市第二精神病医院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临床医生2</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全日制硕士研究生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临床医学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35周岁以下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182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衡阳市第二精神病医院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医学影像诊断医生1</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医学影像学</w:t>
            </w:r>
          </w:p>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（超声诊断方向）</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183</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衡阳市第二精神病医院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医学影像诊断医生2</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放射医学</w:t>
            </w:r>
          </w:p>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（放射诊断方向）</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184</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衡阳市第二精神病医院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麻醉医生</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全日制本科</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麻醉学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30周岁以下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rPr>
              <w:t>　</w:t>
            </w:r>
          </w:p>
        </w:tc>
      </w:tr>
      <w:tr>
        <w:tblPrEx>
          <w:tblCellMar>
            <w:top w:w="15" w:type="dxa"/>
            <w:left w:w="15" w:type="dxa"/>
            <w:bottom w:w="15" w:type="dxa"/>
            <w:right w:w="15" w:type="dxa"/>
          </w:tblCellMar>
        </w:tblPrEx>
        <w:trPr>
          <w:trHeight w:val="350"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185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南华大学附属第一医院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感染科医师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博士研究生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宋体" w:cs="方正仿宋简体"/>
                <w:color w:val="000000"/>
                <w:sz w:val="24"/>
                <w:szCs w:val="24"/>
                <w:lang w:eastAsia="zh-CN"/>
              </w:rPr>
            </w:pPr>
            <w:r>
              <w:rPr>
                <w:rFonts w:ascii="宋体" w:hAnsi="宋体" w:eastAsia="宋体" w:cs="宋体"/>
                <w:sz w:val="24"/>
                <w:szCs w:val="24"/>
              </w:rPr>
              <w:t>临床医学(感染病</w:t>
            </w:r>
            <w:r>
              <w:rPr>
                <w:rFonts w:hint="eastAsia" w:ascii="宋体" w:hAnsi="宋体" w:eastAsia="宋体" w:cs="宋体"/>
                <w:sz w:val="24"/>
                <w:szCs w:val="24"/>
                <w:lang w:eastAsia="zh-CN"/>
              </w:rPr>
              <w:t>学方向）</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40岁以下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以第一作者发表</w:t>
            </w:r>
            <w:r>
              <w:rPr>
                <w:rFonts w:hint="eastAsia" w:ascii="方正仿宋简体" w:hAnsi="方正仿宋简体" w:eastAsia="方正仿宋简体" w:cs="方正仿宋简体"/>
                <w:color w:val="000000"/>
                <w:sz w:val="24"/>
                <w:szCs w:val="24"/>
                <w:lang w:val="en-US" w:eastAsia="zh-CN"/>
              </w:rPr>
              <w:t>SCI文章1篇及以上，其中1篇IF</w:t>
            </w:r>
            <w:r>
              <w:rPr>
                <w:rFonts w:hint="eastAsia" w:ascii="宋体" w:hAnsi="宋体" w:eastAsia="宋体" w:cs="宋体"/>
                <w:color w:val="000000"/>
                <w:sz w:val="24"/>
                <w:szCs w:val="24"/>
                <w:lang w:val="en-US" w:eastAsia="zh-CN"/>
              </w:rPr>
              <w:t>≧</w:t>
            </w:r>
            <w:r>
              <w:rPr>
                <w:rFonts w:hint="eastAsia" w:ascii="方正仿宋简体" w:hAnsi="方正仿宋简体" w:eastAsia="方正仿宋简体" w:cs="方正仿宋简体"/>
                <w:color w:val="000000"/>
                <w:sz w:val="24"/>
                <w:szCs w:val="24"/>
                <w:lang w:val="en-US" w:eastAsia="zh-CN"/>
              </w:rPr>
              <w:t xml:space="preserve">2份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186</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val="en-US" w:eastAsia="zh-CN"/>
              </w:rPr>
              <w:t>南华大学附属第一医院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心血管内科医师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博士研究生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内科学（心血管内科方向）</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40岁以下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以第一作者发表</w:t>
            </w:r>
            <w:r>
              <w:rPr>
                <w:rFonts w:hint="eastAsia" w:ascii="方正仿宋简体" w:hAnsi="方正仿宋简体" w:eastAsia="方正仿宋简体" w:cs="方正仿宋简体"/>
                <w:color w:val="000000"/>
                <w:sz w:val="24"/>
                <w:szCs w:val="24"/>
                <w:lang w:val="en-US" w:eastAsia="zh-CN"/>
              </w:rPr>
              <w:t>SCI文章1篇及以上，其中1篇IF</w:t>
            </w:r>
            <w:r>
              <w:rPr>
                <w:rFonts w:hint="eastAsia" w:ascii="宋体" w:hAnsi="宋体" w:eastAsia="宋体" w:cs="宋体"/>
                <w:color w:val="000000"/>
                <w:sz w:val="24"/>
                <w:szCs w:val="24"/>
                <w:lang w:val="en-US" w:eastAsia="zh-CN"/>
              </w:rPr>
              <w:t>≧</w:t>
            </w:r>
            <w:r>
              <w:rPr>
                <w:rFonts w:hint="eastAsia" w:ascii="方正仿宋简体" w:hAnsi="方正仿宋简体" w:eastAsia="方正仿宋简体" w:cs="方正仿宋简体"/>
                <w:color w:val="000000"/>
                <w:sz w:val="24"/>
                <w:szCs w:val="24"/>
                <w:lang w:val="en-US" w:eastAsia="zh-CN"/>
              </w:rPr>
              <w:t xml:space="preserve">2份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187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南华大学附属第一医院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消化内科医师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博士研究生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内科学（消化内科方向）</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40岁以下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以第一作者发表</w:t>
            </w:r>
            <w:r>
              <w:rPr>
                <w:rFonts w:hint="eastAsia" w:ascii="方正仿宋简体" w:hAnsi="方正仿宋简体" w:eastAsia="方正仿宋简体" w:cs="方正仿宋简体"/>
                <w:color w:val="000000"/>
                <w:sz w:val="24"/>
                <w:szCs w:val="24"/>
                <w:lang w:val="en-US" w:eastAsia="zh-CN"/>
              </w:rPr>
              <w:t>SCI文章1篇及以上，其中1篇I</w:t>
            </w:r>
            <w:r>
              <w:rPr>
                <w:rFonts w:hint="eastAsia" w:ascii="宋体" w:hAnsi="宋体" w:eastAsia="宋体" w:cs="宋体"/>
                <w:color w:val="000000"/>
                <w:sz w:val="24"/>
                <w:szCs w:val="24"/>
                <w:lang w:val="en-US" w:eastAsia="zh-CN"/>
              </w:rPr>
              <w:t>≧</w:t>
            </w:r>
            <w:r>
              <w:rPr>
                <w:rFonts w:hint="eastAsia" w:ascii="方正仿宋简体" w:hAnsi="方正仿宋简体" w:eastAsia="方正仿宋简体" w:cs="方正仿宋简体"/>
                <w:color w:val="000000"/>
                <w:sz w:val="24"/>
                <w:szCs w:val="24"/>
                <w:lang w:val="en-US" w:eastAsia="zh-CN"/>
              </w:rPr>
              <w:t xml:space="preserve">F2份   </w:t>
            </w:r>
          </w:p>
        </w:tc>
      </w:tr>
      <w:tr>
        <w:tblPrEx>
          <w:tblCellMar>
            <w:top w:w="15" w:type="dxa"/>
            <w:left w:w="15" w:type="dxa"/>
            <w:bottom w:w="15" w:type="dxa"/>
            <w:right w:w="15" w:type="dxa"/>
          </w:tblCellMar>
        </w:tblPrEx>
        <w:trPr>
          <w:trHeight w:val="31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188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南华大学附属第一医院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呼吸与危重症医学科</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博士研究生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临床医学（内科学、肿瘤学）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40岁以下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以第一作者发表</w:t>
            </w:r>
            <w:r>
              <w:rPr>
                <w:rFonts w:hint="eastAsia" w:ascii="方正仿宋简体" w:hAnsi="方正仿宋简体" w:eastAsia="方正仿宋简体" w:cs="方正仿宋简体"/>
                <w:color w:val="000000"/>
                <w:sz w:val="24"/>
                <w:szCs w:val="24"/>
                <w:lang w:val="en-US" w:eastAsia="zh-CN"/>
              </w:rPr>
              <w:t>SCI文章1篇及以上，其中1篇IF</w:t>
            </w:r>
            <w:r>
              <w:rPr>
                <w:rFonts w:hint="eastAsia" w:ascii="宋体" w:hAnsi="宋体" w:eastAsia="宋体" w:cs="宋体"/>
                <w:color w:val="000000"/>
                <w:sz w:val="24"/>
                <w:szCs w:val="24"/>
                <w:lang w:val="en-US" w:eastAsia="zh-CN"/>
              </w:rPr>
              <w:t>≧</w:t>
            </w:r>
            <w:r>
              <w:rPr>
                <w:rFonts w:hint="eastAsia" w:ascii="方正仿宋简体" w:hAnsi="方正仿宋简体" w:eastAsia="方正仿宋简体" w:cs="方正仿宋简体"/>
                <w:color w:val="000000"/>
                <w:sz w:val="24"/>
                <w:szCs w:val="24"/>
                <w:lang w:val="en-US" w:eastAsia="zh-CN"/>
              </w:rPr>
              <w:t xml:space="preserve">2份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189</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南华大学附属第一医院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血液内科医师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博士研究生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内科学（血液病学方向）</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40岁以下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eastAsia="zh-CN"/>
              </w:rPr>
              <w:t>第一学历为临床医学专业，第一作者发表</w:t>
            </w:r>
            <w:r>
              <w:rPr>
                <w:rFonts w:hint="eastAsia" w:ascii="方正仿宋简体" w:hAnsi="方正仿宋简体" w:eastAsia="方正仿宋简体" w:cs="方正仿宋简体"/>
                <w:color w:val="000000"/>
                <w:sz w:val="24"/>
                <w:szCs w:val="24"/>
                <w:lang w:val="en-US" w:eastAsia="zh-CN"/>
              </w:rPr>
              <w:t>SCI文章1篇及以上，其中1篇IF</w:t>
            </w:r>
            <w:r>
              <w:rPr>
                <w:rFonts w:hint="eastAsia" w:ascii="宋体" w:hAnsi="宋体" w:eastAsia="宋体" w:cs="宋体"/>
                <w:color w:val="000000"/>
                <w:sz w:val="24"/>
                <w:szCs w:val="24"/>
                <w:lang w:val="en-US" w:eastAsia="zh-CN"/>
              </w:rPr>
              <w:t>≧</w:t>
            </w:r>
            <w:r>
              <w:rPr>
                <w:rFonts w:hint="eastAsia" w:ascii="方正仿宋简体" w:hAnsi="方正仿宋简体" w:eastAsia="方正仿宋简体" w:cs="方正仿宋简体"/>
                <w:color w:val="000000"/>
                <w:sz w:val="24"/>
                <w:szCs w:val="24"/>
                <w:lang w:val="en-US" w:eastAsia="zh-CN"/>
              </w:rPr>
              <w:t xml:space="preserve">2份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190</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南华大学附属第一医院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both"/>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儿科一、二病区医师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博士研究生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儿科学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40岁以下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以第一作者发表</w:t>
            </w:r>
            <w:r>
              <w:rPr>
                <w:rFonts w:hint="eastAsia" w:ascii="方正仿宋简体" w:hAnsi="方正仿宋简体" w:eastAsia="方正仿宋简体" w:cs="方正仿宋简体"/>
                <w:color w:val="000000"/>
                <w:sz w:val="24"/>
                <w:szCs w:val="24"/>
                <w:lang w:val="en-US" w:eastAsia="zh-CN"/>
              </w:rPr>
              <w:t>SCI文章1篇及以上，其中1篇IF</w:t>
            </w:r>
            <w:r>
              <w:rPr>
                <w:rFonts w:hint="eastAsia" w:ascii="宋体" w:hAnsi="宋体" w:eastAsia="宋体" w:cs="宋体"/>
                <w:color w:val="000000"/>
                <w:sz w:val="24"/>
                <w:szCs w:val="24"/>
                <w:lang w:val="en-US" w:eastAsia="zh-CN"/>
              </w:rPr>
              <w:t>≧</w:t>
            </w:r>
            <w:r>
              <w:rPr>
                <w:rFonts w:hint="eastAsia" w:ascii="方正仿宋简体" w:hAnsi="方正仿宋简体" w:eastAsia="方正仿宋简体" w:cs="方正仿宋简体"/>
                <w:color w:val="000000"/>
                <w:sz w:val="24"/>
                <w:szCs w:val="24"/>
                <w:lang w:val="en-US" w:eastAsia="zh-CN"/>
              </w:rPr>
              <w:t xml:space="preserve">2份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191</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南华大学附属第一医院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both"/>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新生儿科医师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博士研究生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儿科学（新生儿科方向）</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40岁以下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以第一作者发表</w:t>
            </w:r>
            <w:r>
              <w:rPr>
                <w:rFonts w:hint="eastAsia" w:ascii="方正仿宋简体" w:hAnsi="方正仿宋简体" w:eastAsia="方正仿宋简体" w:cs="方正仿宋简体"/>
                <w:color w:val="000000"/>
                <w:sz w:val="24"/>
                <w:szCs w:val="24"/>
                <w:lang w:val="en-US" w:eastAsia="zh-CN"/>
              </w:rPr>
              <w:t>SCI文章1篇及以上，其中1篇IF</w:t>
            </w:r>
            <w:r>
              <w:rPr>
                <w:rFonts w:hint="eastAsia" w:ascii="宋体" w:hAnsi="宋体" w:eastAsia="宋体" w:cs="宋体"/>
                <w:color w:val="000000"/>
                <w:sz w:val="24"/>
                <w:szCs w:val="24"/>
                <w:lang w:val="en-US" w:eastAsia="zh-CN"/>
              </w:rPr>
              <w:t>≧</w:t>
            </w:r>
            <w:r>
              <w:rPr>
                <w:rFonts w:hint="eastAsia" w:ascii="方正仿宋简体" w:hAnsi="方正仿宋简体" w:eastAsia="方正仿宋简体" w:cs="方正仿宋简体"/>
                <w:color w:val="000000"/>
                <w:sz w:val="24"/>
                <w:szCs w:val="24"/>
                <w:lang w:val="en-US" w:eastAsia="zh-CN"/>
              </w:rPr>
              <w:t xml:space="preserve">2份   </w:t>
            </w:r>
          </w:p>
        </w:tc>
      </w:tr>
      <w:tr>
        <w:tblPrEx>
          <w:tblCellMar>
            <w:top w:w="15" w:type="dxa"/>
            <w:left w:w="15" w:type="dxa"/>
            <w:bottom w:w="15" w:type="dxa"/>
            <w:right w:w="15" w:type="dxa"/>
          </w:tblCellMar>
        </w:tblPrEx>
        <w:trPr>
          <w:trHeight w:val="347" w:hRule="atLeast"/>
          <w:jc w:val="center"/>
        </w:trPr>
        <w:tc>
          <w:tcPr>
            <w:tcW w:w="4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192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南华大学附属第一医院</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儿童重症医学科医师</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博士研究生</w:t>
            </w:r>
          </w:p>
        </w:tc>
        <w:tc>
          <w:tcPr>
            <w:tcW w:w="19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儿科学</w:t>
            </w:r>
          </w:p>
        </w:tc>
        <w:tc>
          <w:tcPr>
            <w:tcW w:w="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40岁以下</w:t>
            </w:r>
          </w:p>
        </w:tc>
        <w:tc>
          <w:tcPr>
            <w:tcW w:w="32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以第一作者发表</w:t>
            </w:r>
            <w:r>
              <w:rPr>
                <w:rFonts w:hint="eastAsia" w:ascii="方正仿宋简体" w:hAnsi="方正仿宋简体" w:eastAsia="方正仿宋简体" w:cs="方正仿宋简体"/>
                <w:color w:val="000000"/>
                <w:sz w:val="24"/>
                <w:szCs w:val="24"/>
                <w:lang w:val="en-US" w:eastAsia="zh-CN"/>
              </w:rPr>
              <w:t>SCI文章1篇及以上，其中1篇IF</w:t>
            </w:r>
            <w:r>
              <w:rPr>
                <w:rFonts w:hint="eastAsia" w:ascii="宋体" w:hAnsi="宋体" w:eastAsia="宋体" w:cs="宋体"/>
                <w:color w:val="000000"/>
                <w:sz w:val="24"/>
                <w:szCs w:val="24"/>
                <w:lang w:val="en-US" w:eastAsia="zh-CN"/>
              </w:rPr>
              <w:t>≧</w:t>
            </w:r>
            <w:r>
              <w:rPr>
                <w:rFonts w:hint="eastAsia" w:ascii="方正仿宋简体" w:hAnsi="方正仿宋简体" w:eastAsia="方正仿宋简体" w:cs="方正仿宋简体"/>
                <w:color w:val="000000"/>
                <w:sz w:val="24"/>
                <w:szCs w:val="24"/>
                <w:lang w:val="en-US" w:eastAsia="zh-CN"/>
              </w:rPr>
              <w:t xml:space="preserve">2份   </w:t>
            </w:r>
          </w:p>
        </w:tc>
      </w:tr>
      <w:tr>
        <w:tblPrEx>
          <w:tblCellMar>
            <w:top w:w="15" w:type="dxa"/>
            <w:left w:w="15" w:type="dxa"/>
            <w:bottom w:w="15" w:type="dxa"/>
            <w:right w:w="15" w:type="dxa"/>
          </w:tblCellMar>
        </w:tblPrEx>
        <w:trPr>
          <w:trHeight w:val="352" w:hRule="atLeast"/>
          <w:jc w:val="center"/>
        </w:trPr>
        <w:tc>
          <w:tcPr>
            <w:tcW w:w="474"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193</w:t>
            </w:r>
          </w:p>
        </w:tc>
        <w:tc>
          <w:tcPr>
            <w:tcW w:w="138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南华大学附属第一医院</w:t>
            </w:r>
          </w:p>
        </w:tc>
        <w:tc>
          <w:tcPr>
            <w:tcW w:w="126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中医科医师</w:t>
            </w:r>
          </w:p>
        </w:tc>
        <w:tc>
          <w:tcPr>
            <w:tcW w:w="37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96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博士研究生</w:t>
            </w:r>
          </w:p>
        </w:tc>
        <w:tc>
          <w:tcPr>
            <w:tcW w:w="1993"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中医内科学</w:t>
            </w:r>
          </w:p>
        </w:tc>
        <w:tc>
          <w:tcPr>
            <w:tcW w:w="626"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40岁以下</w:t>
            </w:r>
          </w:p>
        </w:tc>
        <w:tc>
          <w:tcPr>
            <w:tcW w:w="325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rPr>
            </w:pPr>
            <w:r>
              <w:rPr>
                <w:rFonts w:hint="eastAsia" w:ascii="方正仿宋简体" w:hAnsi="方正仿宋简体" w:eastAsia="方正仿宋简体" w:cs="方正仿宋简体"/>
                <w:color w:val="000000"/>
                <w:sz w:val="24"/>
                <w:szCs w:val="24"/>
                <w:lang w:eastAsia="zh-CN"/>
              </w:rPr>
              <w:t>以第一作者发表</w:t>
            </w:r>
            <w:r>
              <w:rPr>
                <w:rFonts w:hint="eastAsia" w:ascii="方正仿宋简体" w:hAnsi="方正仿宋简体" w:eastAsia="方正仿宋简体" w:cs="方正仿宋简体"/>
                <w:color w:val="000000"/>
                <w:sz w:val="24"/>
                <w:szCs w:val="24"/>
                <w:lang w:val="en-US" w:eastAsia="zh-CN"/>
              </w:rPr>
              <w:t>SCI文章1篇及以上，其中1篇IF</w:t>
            </w:r>
            <w:r>
              <w:rPr>
                <w:rFonts w:hint="eastAsia" w:ascii="宋体" w:hAnsi="宋体" w:eastAsia="宋体" w:cs="宋体"/>
                <w:color w:val="000000"/>
                <w:sz w:val="24"/>
                <w:szCs w:val="24"/>
                <w:lang w:val="en-US" w:eastAsia="zh-CN"/>
              </w:rPr>
              <w:t>≧</w:t>
            </w:r>
            <w:r>
              <w:rPr>
                <w:rFonts w:hint="eastAsia" w:ascii="方正仿宋简体" w:hAnsi="方正仿宋简体" w:eastAsia="方正仿宋简体" w:cs="方正仿宋简体"/>
                <w:color w:val="000000"/>
                <w:sz w:val="24"/>
                <w:szCs w:val="24"/>
                <w:lang w:val="en-US" w:eastAsia="zh-CN"/>
              </w:rPr>
              <w:t xml:space="preserve">2份   </w:t>
            </w:r>
          </w:p>
        </w:tc>
      </w:tr>
      <w:tr>
        <w:tblPrEx>
          <w:tblCellMar>
            <w:top w:w="15" w:type="dxa"/>
            <w:left w:w="15" w:type="dxa"/>
            <w:bottom w:w="15" w:type="dxa"/>
            <w:right w:w="15" w:type="dxa"/>
          </w:tblCellMar>
        </w:tblPrEx>
        <w:trPr>
          <w:trHeight w:val="352" w:hRule="atLeast"/>
          <w:jc w:val="center"/>
        </w:trPr>
        <w:tc>
          <w:tcPr>
            <w:tcW w:w="47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194</w:t>
            </w:r>
          </w:p>
        </w:tc>
        <w:tc>
          <w:tcPr>
            <w:tcW w:w="1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12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神经内科医师1</w:t>
            </w:r>
          </w:p>
        </w:tc>
        <w:tc>
          <w:tcPr>
            <w:tcW w:w="3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w:t>
            </w:r>
          </w:p>
        </w:tc>
        <w:tc>
          <w:tcPr>
            <w:tcW w:w="9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19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神经病学</w:t>
            </w:r>
          </w:p>
        </w:tc>
        <w:tc>
          <w:tcPr>
            <w:tcW w:w="6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副主任医师年龄放宽至45岁以下，主任医师年龄放宽至50岁以下。</w:t>
            </w: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195</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消化内科医师1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内科学（且研究方向为消化内科）</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196</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呼吸内科医师1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内科学</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197</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感染科医师1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内科学</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198</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肾内风湿免疫科医师1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临床医学、内科学（且研究方向为肾脏病学）</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199</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肿瘤科医师1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肿瘤学（且研究方向放疗或化疗）</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200</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中医肛肠科医师1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中医外科学（且研究方向为中医肛肠）、外科学（且研究方向为普通外科）</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201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神经外科医师1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外科学</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肝胆外科医师</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临床医学、外科学</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203</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胃肠外科医师1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临床医学、外科学</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204</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创伤骨科医师1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外科学（且研究方向为骨外科）</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r>
        <w:tblPrEx>
          <w:tblCellMar>
            <w:top w:w="15" w:type="dxa"/>
            <w:left w:w="15" w:type="dxa"/>
            <w:bottom w:w="15" w:type="dxa"/>
            <w:right w:w="15" w:type="dxa"/>
          </w:tblCellMar>
        </w:tblPrEx>
        <w:trPr>
          <w:trHeight w:val="35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205</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eastAsia="zh-CN"/>
              </w:rPr>
              <w:t>南华大学附属南华医院</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关节运动科医师1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博士研究生</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临床医学、外科学</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r>
              <w:rPr>
                <w:rFonts w:hint="eastAsia" w:ascii="方正仿宋简体" w:hAnsi="方正仿宋简体" w:eastAsia="方正仿宋简体" w:cs="方正仿宋简体"/>
                <w:color w:val="000000"/>
                <w:sz w:val="24"/>
                <w:szCs w:val="24"/>
                <w:lang w:val="en-US" w:eastAsia="zh-CN"/>
              </w:rPr>
              <w:t>40岁以下</w:t>
            </w:r>
          </w:p>
        </w:tc>
        <w:tc>
          <w:tcPr>
            <w:tcW w:w="3257" w:type="dxa"/>
            <w:vMerge w:val="continue"/>
            <w:tcBorders>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简体" w:hAnsi="方正仿宋简体" w:eastAsia="方正仿宋简体" w:cs="方正仿宋简体"/>
                <w:color w:val="000000"/>
                <w:sz w:val="24"/>
                <w:szCs w:val="24"/>
                <w:lang w:eastAsia="zh-CN"/>
              </w:rPr>
            </w:pPr>
          </w:p>
        </w:tc>
      </w:tr>
    </w:tbl>
    <w:p>
      <w:pPr>
        <w:bidi w:val="0"/>
        <w:rPr>
          <w:rFonts w:hint="eastAsia"/>
          <w:kern w:val="2"/>
          <w:sz w:val="21"/>
          <w:lang w:val="en-US" w:eastAsia="zh-CN" w:bidi="ar-SA"/>
        </w:rPr>
      </w:pPr>
    </w:p>
    <w:tbl>
      <w:tblPr>
        <w:tblStyle w:val="5"/>
        <w:tblpPr w:leftFromText="180" w:rightFromText="180" w:vertAnchor="text" w:horzAnchor="page" w:tblpX="713" w:tblpY="215"/>
        <w:tblOverlap w:val="never"/>
        <w:tblW w:w="10425" w:type="dxa"/>
        <w:tblInd w:w="0" w:type="dxa"/>
        <w:tblLayout w:type="fixed"/>
        <w:tblCellMar>
          <w:top w:w="0" w:type="dxa"/>
          <w:left w:w="0" w:type="dxa"/>
          <w:bottom w:w="0" w:type="dxa"/>
          <w:right w:w="0" w:type="dxa"/>
        </w:tblCellMar>
      </w:tblPr>
      <w:tblGrid>
        <w:gridCol w:w="582"/>
        <w:gridCol w:w="180"/>
        <w:gridCol w:w="1245"/>
        <w:gridCol w:w="1097"/>
        <w:gridCol w:w="7"/>
        <w:gridCol w:w="356"/>
        <w:gridCol w:w="835"/>
        <w:gridCol w:w="1811"/>
        <w:gridCol w:w="530"/>
        <w:gridCol w:w="3782"/>
      </w:tblGrid>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206</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脊柱外科医师1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外科学（且研究方向为脊柱外科）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副主任医师年龄放宽至45岁以下，主任医师年龄放宽至50岁以下。</w:t>
            </w: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207</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介入血管外科医师1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影像医学与核医学（且研究方向为放射介入）、外科学（且研究方向为血管外科）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208</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泌尿外科医师1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外科学（且研究方向为泌尿外科）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209</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泌尿外科医师2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外科学（且研究方向为男科）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210</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乳甲外科医师1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211</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 xml:space="preserve"> 胸心外科医师1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外科学（且研究方向为胸心外科）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212</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麻醉科医师</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麻醉学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213</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重症医学科医师1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内科学、急诊医学、麻醉学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214</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口腔科医师1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口腔临床医学（且研究方向为口腔颌面外科）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215</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皮肤科医师1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皮肤病与性病学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216</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耳鼻喉科医师1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临床医学、耳鼻咽喉科学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217</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烧伤整形科医师1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218</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疼痛、康复医学科医师1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副主任医师年龄放宽至45岁以下，主任医师年龄放宽至50岁以下。</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219</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妇产科医师1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临床医学、妇产科学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220</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儿科医师1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儿科学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221</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中医科医师1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中医内科学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222</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急诊科医师1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临床医学、急诊医学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223</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健康管理科医师1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224</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脑功能与神经电生理科医师1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神经病学、外科学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225</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超声科医师1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临床医学、影像医学与核医学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226</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放射科医师1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临床医学、影像医学与核医学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227</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检验科技师1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临床检验诊断学、生物化学与分子生物学、病原生物学、免疫学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228</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全科医学科医师1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w:t>
            </w:r>
          </w:p>
        </w:tc>
        <w:tc>
          <w:tcPr>
            <w:tcW w:w="530"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229</w:t>
            </w:r>
          </w:p>
        </w:tc>
        <w:tc>
          <w:tcPr>
            <w:tcW w:w="1425" w:type="dxa"/>
            <w:gridSpan w:val="2"/>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病理科医师1</w:t>
            </w:r>
          </w:p>
        </w:tc>
        <w:tc>
          <w:tcPr>
            <w:tcW w:w="356"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nil"/>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病理学与病理生理学</w:t>
            </w:r>
          </w:p>
        </w:tc>
        <w:tc>
          <w:tcPr>
            <w:tcW w:w="530"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第一学历为临床医学；副主任医师年龄放宽至45岁以下，主任医师年龄放宽至50岁以下。</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230</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眼科医师1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眼科学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副主任医师年龄放宽至45岁以下，主任医师年龄放宽至50岁以下。</w:t>
            </w:r>
          </w:p>
        </w:tc>
      </w:tr>
      <w:tr>
        <w:tblPrEx>
          <w:tblCellMar>
            <w:top w:w="0" w:type="dxa"/>
            <w:left w:w="0" w:type="dxa"/>
            <w:bottom w:w="0" w:type="dxa"/>
            <w:right w:w="0" w:type="dxa"/>
          </w:tblCellMar>
        </w:tblPrEx>
        <w:trPr>
          <w:trHeight w:val="1144" w:hRule="atLeast"/>
        </w:trPr>
        <w:tc>
          <w:tcPr>
            <w:tcW w:w="582"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231</w:t>
            </w:r>
          </w:p>
        </w:tc>
        <w:tc>
          <w:tcPr>
            <w:tcW w:w="1425" w:type="dxa"/>
            <w:gridSpan w:val="2"/>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肿瘤科医师2</w:t>
            </w:r>
          </w:p>
        </w:tc>
        <w:tc>
          <w:tcPr>
            <w:tcW w:w="356"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全日制本科（学士）及以上</w:t>
            </w:r>
          </w:p>
        </w:tc>
        <w:tc>
          <w:tcPr>
            <w:tcW w:w="1811"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w:t>
            </w:r>
          </w:p>
        </w:tc>
        <w:tc>
          <w:tcPr>
            <w:tcW w:w="53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50岁以下</w:t>
            </w:r>
          </w:p>
        </w:tc>
        <w:tc>
          <w:tcPr>
            <w:tcW w:w="3782"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需具有主任医师职称</w:t>
            </w: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232</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急诊科医师2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全日制本科（学士）及以上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50岁以下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需具有主任医师职称</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234</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心内科医师</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内科学（且研究方向为心血管介入）</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心血管介入方向，需接触一定的放射源。</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235</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药学部临床药学1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药理学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236</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药学部临床药学2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药剂学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237</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临床研究所研究员</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病理学、生理学、药理学、病理学与病理生理学、生物化学与分子生物学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40岁以下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238</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手足外科医师1</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外科学（且研究方向为骨外科）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35岁以下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239</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神经内科医师2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神经病学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博士研究生年龄放宽至40岁以下，主治医师年龄放宽至40岁以下，副主任医师年龄放宽至45岁以下，主任医师年龄放宽至50岁以下。</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240</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消化内科医师2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内科学（且研究方向为消化内科）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241</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呼吸内科医师2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内科学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242</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感染科医师2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内科学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243</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肾内风湿免疫科医师2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内科学（且研究方向为风湿免疫学）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244</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肿瘤科医师3</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肿瘤学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博士研究生年龄放宽至40岁以下，主治医师年龄放宽至40岁以下，副主任医师年龄放宽至45岁以下，主任医师年龄放宽至50岁以下。</w:t>
            </w: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245</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中医肛肠科医师2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中医外科学（且研究方向为中医肛肠）、外科学（且研究方向为普通外科）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246</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神经外科医师2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外科学（且研究方向为神经外科学）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49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247</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胃肠外科医师2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248</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手足外科医师2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外科学（且研究方向为骨外科）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249</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创伤骨科医师2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外科学（且研究方向为骨外科）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250</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关节运动科医师2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运动医学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251</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脊柱外科医师2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外科学（且研究方向为脊柱外科）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252</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介入血管外科医师2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影像医学与核医学（且研究方向为放射介入）</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253</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介入血管外科医师3</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外科学（且研究方向为血管外科）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254</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泌尿外科医师3</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外科学（且研究方向为泌尿外科）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255</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乳甲外科医师2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外科学（且研究方向为乳甲外科或头颈外科）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256</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r>
              <w:rPr>
                <w:rFonts w:hint="eastAsia" w:ascii="方正仿宋简体" w:hAnsi="方正仿宋简体" w:eastAsia="方正仿宋简体" w:cs="方正仿宋简体"/>
                <w:color w:val="000000"/>
                <w:sz w:val="24"/>
                <w:szCs w:val="24"/>
                <w:lang w:val="en-US" w:eastAsia="zh-CN"/>
              </w:rPr>
              <w:t xml:space="preserve"> </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胸心外科医师2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外科学（且研究方向为胸心外科）</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博士研究生年龄放宽至40岁以下，主治医师年龄放宽至40岁以下，副主任医师年龄放宽至45岁以下，主任医师年龄放宽至50岁以下。</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257</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 xml:space="preserve"> 胸心外科医师3</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外科学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258</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重症医学科医师2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内科学、急诊医学、麻醉学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259</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口腔科医师2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口腔临床医学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260</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皮肤科医师2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皮肤病与性病学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261</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耳鼻喉科医师2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临床医学、耳鼻咽喉科学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262</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烧伤整形科医师2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263</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疼痛、康复医学科医师2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康复医学与理疗学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264</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眼科医师2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眼科学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265</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儿科医师2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儿科学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266</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急诊科外科医师</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急诊医学、外科学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267</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急诊科内科医师</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急诊医学、内科学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437"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268</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健康管理科医师2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临床医学（且规培方向为全科医学）、妇产科学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博士研究生年龄放宽至40岁以下，主治医师年龄放宽至40岁以下，副主任医师年龄放宽至45岁以下，主任医师年龄放宽至50岁以下。</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269</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超声科医师2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临床医学、影像医学与核医学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270</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放射科医师2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影像医学与核医学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271</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妇产科医师2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临床医学、妇产科学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1896"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272</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病理科医师2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病理学与病理生理学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tcBorders>
              <w:top w:val="nil"/>
              <w:left w:val="single" w:color="000000" w:sz="4" w:space="0"/>
              <w:bottom w:val="nil"/>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第一学历为临床医学；博士研究生年龄放宽至40岁以下，主治医师年龄放宽至40岁以下，副主任医师年龄放宽至45岁以下，主任医师年龄放宽至50岁以下。</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273</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心内科医师</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内科学（且研究方向为心血管介入）</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心血管介入方向，需接触一定的放射源。</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274</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健康管理科医师3</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临床医学、公共卫生与预防医学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需具有职业病诊断资格证和职业病体检资格证</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275</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护理部护士</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护理学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276</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口腔科医师3</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全日制本科（学士）及以上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口腔医学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28岁以下</w:t>
            </w:r>
          </w:p>
        </w:tc>
        <w:tc>
          <w:tcPr>
            <w:tcW w:w="378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硕士研究生年龄放宽至32岁以下，博士研究生年龄放宽至40岁以下，主治医师年龄放宽至40岁以下，副主任医师年龄放宽至45岁以下，主任医师年龄放宽至50岁以下。</w:t>
            </w: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277</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儿科医师3</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全日制本科（学士）及以上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临床医学（且完成儿科方向规培）</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28岁以下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278</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皮肤科医师3</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全日制本科（学士）及以上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临床医学、皮肤病与性病学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28岁以下</w:t>
            </w:r>
          </w:p>
        </w:tc>
        <w:tc>
          <w:tcPr>
            <w:tcW w:w="37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279</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检验科技师2</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临床检验诊断学、生物化学与分子生物学、病原生物学、免疫学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第一学历为医学检验技术或卫生检验与检疫</w:t>
            </w: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280</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药学部临床药学3</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药学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281</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药学部药品临床实验基地</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药学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282</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eastAsia="zh-CN"/>
              </w:rPr>
              <w:t>南华大学附属南华医院</w:t>
            </w:r>
          </w:p>
        </w:tc>
        <w:tc>
          <w:tcPr>
            <w:tcW w:w="110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药学部中药调剂</w:t>
            </w:r>
          </w:p>
        </w:tc>
        <w:tc>
          <w:tcPr>
            <w:tcW w:w="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硕士研究生及以上</w:t>
            </w:r>
          </w:p>
        </w:tc>
        <w:tc>
          <w:tcPr>
            <w:tcW w:w="18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中药学</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r>
              <w:rPr>
                <w:rFonts w:hint="eastAsia" w:ascii="方正仿宋简体" w:hAnsi="方正仿宋简体" w:eastAsia="方正仿宋简体" w:cs="方正仿宋简体"/>
                <w:color w:val="000000"/>
                <w:sz w:val="24"/>
                <w:szCs w:val="24"/>
                <w:lang w:val="en-US" w:eastAsia="zh-CN"/>
              </w:rPr>
              <w:t>32岁以下</w:t>
            </w:r>
          </w:p>
        </w:tc>
        <w:tc>
          <w:tcPr>
            <w:tcW w:w="37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eastAsia="zh-CN"/>
              </w:rPr>
            </w:pPr>
          </w:p>
        </w:tc>
      </w:tr>
      <w:tr>
        <w:tblPrEx>
          <w:tblCellMar>
            <w:top w:w="0" w:type="dxa"/>
            <w:left w:w="0" w:type="dxa"/>
            <w:bottom w:w="0" w:type="dxa"/>
            <w:right w:w="0" w:type="dxa"/>
          </w:tblCellMar>
        </w:tblPrEx>
        <w:trPr>
          <w:trHeight w:val="1144" w:hRule="atLeast"/>
        </w:trPr>
        <w:tc>
          <w:tcPr>
            <w:tcW w:w="582" w:type="dxa"/>
            <w:tcBorders>
              <w:left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283</w:t>
            </w:r>
          </w:p>
        </w:tc>
        <w:tc>
          <w:tcPr>
            <w:tcW w:w="1425" w:type="dxa"/>
            <w:gridSpan w:val="2"/>
            <w:tcBorders>
              <w:left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肿瘤血液内科专业技术（医师）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内科学（血液内科学方向）、肿瘤学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1144" w:hRule="atLeast"/>
        </w:trPr>
        <w:tc>
          <w:tcPr>
            <w:tcW w:w="582" w:type="dxa"/>
            <w:tcBorders>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284</w:t>
            </w:r>
          </w:p>
        </w:tc>
        <w:tc>
          <w:tcPr>
            <w:tcW w:w="1425" w:type="dxa"/>
            <w:gridSpan w:val="2"/>
            <w:tcBorders>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肿瘤血液内科专业技术（医师）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内科学（血液内科学方向）、肿瘤学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285</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放疗科专业技术（医师）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肿瘤学、基础医学（放射医学）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286</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肾病风湿科专业技术（医师）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内科学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287</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肾病风湿科专业技术（医师）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内科学（肾病学方向、风湿病学方向）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288</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消化内科专业技术（医师）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内科学（消化内科方向）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289</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消化内科专业技术（医师）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内科学（消化内科方向）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290</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神经内科专业技术（医师）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影像医学与核医学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291</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心血管内科专业技术（医师）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内科学（心血管内科方向）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292</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呼吸与危重症医学科专业技术（医师）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内科学（呼吸内科学方向）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293</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呼吸与危重症医学科专业技术（医师）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内科学（呼吸内科学）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392"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294</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呼吸与危重症医学科专业技术（技师）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295</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儿科专业技术（医师）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儿科学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296</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儿科专业技术（医师）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儿科学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297</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儿科专业技术（医师）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临床医学、儿科学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298</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儿科专业技术（技师）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中医学（针灸推拿学方向）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299</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肝胆脾胰外科专业技术（医师）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外科学（普通外科学方向）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300</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乳甲外科专业技术（科研）</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基础医学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301</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乳甲外科专业技术（医师）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外科学（普通外科学方向）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302</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乳甲外科专业技术（医师）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外科学（乳甲外科方向）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303</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血管、疝及儿童外科专业技术（医师）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外科学（血管外科方向）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304</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血管、疝及儿童外科专业技术（医师）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外科学（血管外科方向）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305</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神经外科专业技术（医师）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外科学（神经外科方向）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306</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神经外科专业技术（医师）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外科学（神经外科方向）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307</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胸心外科专业技术（医师）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308</w:t>
            </w:r>
          </w:p>
        </w:tc>
        <w:tc>
          <w:tcPr>
            <w:tcW w:w="1425" w:type="dxa"/>
            <w:gridSpan w:val="2"/>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骨科专业技术（医师）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外科学（骨外科学方向）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1520" w:hRule="atLeast"/>
        </w:trPr>
        <w:tc>
          <w:tcPr>
            <w:tcW w:w="582" w:type="dxa"/>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309</w:t>
            </w:r>
          </w:p>
        </w:tc>
        <w:tc>
          <w:tcPr>
            <w:tcW w:w="1425" w:type="dxa"/>
            <w:gridSpan w:val="2"/>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南华大学附属第二医院骨科专业技术（医师）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外科学（骨外科学方向）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310</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脊柱外科专业技术（医师）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生物化学与分子生物学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311</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泌尿外科专业技术（医师）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外科学（泌尿外科学方向）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392"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312</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泌尿外科专业技术（医师）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外科学（泌尿外科学方向）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313</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泌尿外科专业技术（医师）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外科学（泌尿外科学方向）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314</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泌尿外科专业技术（医师）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外科学（泌尿外科学方向）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315</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疼痛康复科专业技术（医师）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316</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疼痛康复科专业技术（医师）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康复医学与理疗学、麻醉学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317</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疼痛康复科专业技术（技师）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康复治疗学、康复医学与理疗学、内科学（神经内科方向）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318</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妇产科专业技术（医师）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妇产科学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319</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妇产科专业技术（医师）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妇产科学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320</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耳鼻咽喉科专业技术（医师）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外科学（耳鼻咽喉头颈外科学方向）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321</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耳鼻咽喉科专业技术（医师）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外科学（耳鼻咽喉头颈外科学方向）</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322</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口腔科专业技术（医师）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口腔医学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323</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麻醉科专业技术（医师）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324</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麻醉科专业技术（科研）</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基础医学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325</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麻醉科专业技术（医师）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临床医学、麻醉学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326</w:t>
            </w:r>
          </w:p>
        </w:tc>
        <w:tc>
          <w:tcPr>
            <w:tcW w:w="1425" w:type="dxa"/>
            <w:gridSpan w:val="2"/>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重症医学科专业技术（医师）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急诊医学、重症医学、外科学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327</w:t>
            </w:r>
          </w:p>
        </w:tc>
        <w:tc>
          <w:tcPr>
            <w:tcW w:w="1425" w:type="dxa"/>
            <w:gridSpan w:val="2"/>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重症医学科专业技术（医师）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急诊医学、重症医学、外科学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328</w:t>
            </w:r>
          </w:p>
        </w:tc>
        <w:tc>
          <w:tcPr>
            <w:tcW w:w="1425" w:type="dxa"/>
            <w:gridSpan w:val="2"/>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重症医学科专业技术（医师）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急诊医学、重症医学、内科学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329</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院前急救中心专业技术（医师）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大专（高中起点）及以上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330</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中医科专业技术（技师）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针灸推拿学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1144"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331</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健康管理中心专业技术（医师）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392"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332</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检验科专业技术（技师）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临床检验诊断学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333</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检验科专业技术（技师）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医学检验技术、临床检验诊断学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334</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放射影像科专业技术（医师）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影像医学与核医学、外科学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335</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放射影像科专业技术（医师）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影像医学与核医学、外科学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5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336</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超声医学科专业技术（医师）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影像医学与核医学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76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337</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功能检查科专业技术（医师）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76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338</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功能检查科专业技术（医师）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76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339</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病理科专业技术（医师）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临床医学、病理学与病理生理学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76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340</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病理科专业技术（医师）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临床医学、病理学与病理生理学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76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341</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病理科专业技术（医师）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临床医学、病理学与病理生理学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76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342</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病理科专业技术（技师）</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临床医学、医学检验技术、临床检验诊断学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76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343</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护理部专业技术（护理）</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硕士及以上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护理学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68" w:hRule="atLeast"/>
        </w:trPr>
        <w:tc>
          <w:tcPr>
            <w:tcW w:w="76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344</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护理部专业技术（护理）</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10</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本科及以上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护理学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1144" w:hRule="atLeast"/>
        </w:trPr>
        <w:tc>
          <w:tcPr>
            <w:tcW w:w="76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345</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护理部专业技术（护理）</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5</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大专（高中起点）及以上</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护理</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r>
        <w:tblPrEx>
          <w:tblCellMar>
            <w:top w:w="0" w:type="dxa"/>
            <w:left w:w="0" w:type="dxa"/>
            <w:bottom w:w="0" w:type="dxa"/>
            <w:right w:w="0" w:type="dxa"/>
          </w:tblCellMar>
        </w:tblPrEx>
        <w:trPr>
          <w:trHeight w:val="774" w:hRule="atLeast"/>
        </w:trPr>
        <w:tc>
          <w:tcPr>
            <w:tcW w:w="762"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346</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南华大学附属第二医院</w:t>
            </w:r>
          </w:p>
        </w:tc>
        <w:tc>
          <w:tcPr>
            <w:tcW w:w="10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科研管理部专业技术（科研）</w:t>
            </w:r>
          </w:p>
        </w:tc>
        <w:tc>
          <w:tcPr>
            <w:tcW w:w="363"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2</w:t>
            </w:r>
          </w:p>
        </w:tc>
        <w:tc>
          <w:tcPr>
            <w:tcW w:w="83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博士研究生</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r>
              <w:rPr>
                <w:rFonts w:hint="eastAsia" w:ascii="方正仿宋简体" w:hAnsi="方正仿宋简体" w:eastAsia="方正仿宋简体" w:cs="方正仿宋简体"/>
                <w:color w:val="000000"/>
                <w:sz w:val="24"/>
                <w:szCs w:val="24"/>
                <w:lang w:val="en-US" w:eastAsia="zh-CN"/>
              </w:rPr>
              <w:t>基础医学、临床医学、公共卫生与预防医学</w:t>
            </w:r>
          </w:p>
        </w:tc>
        <w:tc>
          <w:tcPr>
            <w:tcW w:w="378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kern w:val="2"/>
                <w:sz w:val="24"/>
                <w:szCs w:val="24"/>
                <w:lang w:val="en-US" w:eastAsia="zh-CN" w:bidi="ar-SA"/>
              </w:rPr>
            </w:pPr>
          </w:p>
        </w:tc>
      </w:tr>
    </w:tbl>
    <w:p>
      <w:pPr>
        <w:tabs>
          <w:tab w:val="left" w:pos="1895"/>
        </w:tabs>
        <w:bidi w:val="0"/>
        <w:jc w:val="left"/>
        <w:rPr>
          <w:rFonts w:hint="eastAsia"/>
          <w:lang w:val="en-US" w:eastAsia="zh-CN"/>
        </w:rPr>
      </w:pPr>
    </w:p>
    <w:p>
      <w:pPr>
        <w:keepNext w:val="0"/>
        <w:keepLines w:val="0"/>
        <w:widowControl/>
        <w:suppressLineNumbers w:val="0"/>
        <w:jc w:val="center"/>
        <w:textAlignment w:val="center"/>
        <w:rPr>
          <w:rFonts w:hint="eastAsia" w:ascii="方正仿宋简体" w:hAnsi="方正仿宋简体" w:eastAsia="方正仿宋简体" w:cs="方正仿宋简体"/>
          <w:color w:val="000000"/>
          <w:sz w:val="24"/>
          <w:szCs w:val="24"/>
          <w:lang w:val="en-US" w:eastAsia="zh-CN"/>
        </w:rPr>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405" w:lineRule="atLeast"/>
        <w:ind w:leftChars="0" w:right="0" w:rightChars="0"/>
        <w:textAlignment w:val="baseline"/>
        <w:rPr>
          <w:rFonts w:hint="eastAsia" w:ascii="微软雅黑" w:hAnsi="微软雅黑" w:eastAsia="微软雅黑" w:cs="微软雅黑"/>
          <w:i w:val="0"/>
          <w:caps w:val="0"/>
          <w:color w:val="111111"/>
          <w:spacing w:val="0"/>
          <w:sz w:val="27"/>
          <w:szCs w:val="27"/>
          <w:shd w:val="clear" w:fill="FFFFFF"/>
          <w:vertAlign w:val="baseline"/>
        </w:rPr>
      </w:pPr>
    </w:p>
    <w:p>
      <w:pPr>
        <w:rPr>
          <w:rFonts w:hint="eastAsia"/>
        </w:rPr>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405" w:lineRule="atLeast"/>
        <w:ind w:leftChars="0" w:right="0" w:rightChars="0"/>
        <w:textAlignment w:val="baseline"/>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405" w:lineRule="atLeast"/>
        <w:ind w:leftChars="0" w:right="0" w:rightChars="0"/>
        <w:textAlignment w:val="baseline"/>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405" w:lineRule="atLeast"/>
        <w:ind w:leftChars="0" w:right="0" w:rightChars="0"/>
        <w:textAlignment w:val="baseline"/>
        <w:rPr>
          <w:rFonts w:hint="eastAsi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405" w:lineRule="atLeast"/>
        <w:ind w:left="0" w:right="0" w:firstLine="0"/>
        <w:textAlignment w:val="baseline"/>
        <w:rPr>
          <w:rFonts w:hint="eastAsia" w:ascii="微软雅黑" w:hAnsi="微软雅黑" w:eastAsia="微软雅黑" w:cs="微软雅黑"/>
          <w:i w:val="0"/>
          <w:caps w:val="0"/>
          <w:color w:val="111111"/>
          <w:spacing w:val="0"/>
          <w:sz w:val="27"/>
          <w:szCs w:val="27"/>
        </w:rPr>
      </w:pPr>
      <w:r>
        <w:rPr>
          <w:rFonts w:hint="eastAsia" w:ascii="微软雅黑" w:hAnsi="微软雅黑" w:eastAsia="微软雅黑" w:cs="微软雅黑"/>
          <w:i w:val="0"/>
          <w:caps w:val="0"/>
          <w:color w:val="111111"/>
          <w:spacing w:val="0"/>
          <w:sz w:val="27"/>
          <w:szCs w:val="27"/>
          <w:shd w:val="clear" w:fill="FFFFFF"/>
          <w:vertAlign w:val="baseline"/>
          <w:lang w:eastAsia="zh-CN"/>
        </w:rPr>
        <w:t>（三）</w:t>
      </w:r>
      <w:r>
        <w:rPr>
          <w:rFonts w:hint="default" w:ascii="sans-serif" w:hAnsi="sans-serif" w:eastAsia="sans-serif" w:cs="sans-serif"/>
          <w:i w:val="0"/>
          <w:caps w:val="0"/>
          <w:spacing w:val="0"/>
          <w:sz w:val="27"/>
          <w:szCs w:val="27"/>
          <w:shd w:val="clear" w:fill="FFFFFF"/>
          <w:vertAlign w:val="baseline"/>
        </w:rPr>
        <w:fldChar w:fldCharType="begin"/>
      </w:r>
      <w:r>
        <w:rPr>
          <w:rFonts w:hint="default" w:ascii="sans-serif" w:hAnsi="sans-serif" w:eastAsia="sans-serif" w:cs="sans-serif"/>
          <w:i w:val="0"/>
          <w:caps w:val="0"/>
          <w:spacing w:val="0"/>
          <w:sz w:val="27"/>
          <w:szCs w:val="27"/>
          <w:shd w:val="clear" w:fill="FFFFFF"/>
          <w:vertAlign w:val="baseline"/>
        </w:rPr>
        <w:instrText xml:space="preserve"> HYPERLINK "http://qn2132.res.aheading.com/12%E6%9C%88%E8%A1%A1%E9%98%B3%E5%B8%8242%E5%AE%B6%E4%BC%81%E4%B8%9A%E9%9D%92%E5%B9%B4%E4%BA%BA%E6%89%8D%E9%9C%80%E6%B1%82%E7%9B%AE%E5%BD%95(1).docx" \t "https://cmsuiv3.aheading.com/Article/ArticleRead/_blank" </w:instrText>
      </w:r>
      <w:r>
        <w:rPr>
          <w:rFonts w:hint="default" w:ascii="sans-serif" w:hAnsi="sans-serif" w:eastAsia="sans-serif" w:cs="sans-serif"/>
          <w:i w:val="0"/>
          <w:caps w:val="0"/>
          <w:spacing w:val="0"/>
          <w:sz w:val="27"/>
          <w:szCs w:val="27"/>
          <w:shd w:val="clear" w:fill="FFFFFF"/>
          <w:vertAlign w:val="baseline"/>
        </w:rPr>
        <w:fldChar w:fldCharType="separate"/>
      </w:r>
      <w:r>
        <w:rPr>
          <w:rStyle w:val="10"/>
          <w:rFonts w:hint="default" w:ascii="sans-serif" w:hAnsi="sans-serif" w:eastAsia="sans-serif" w:cs="sans-serif"/>
          <w:i w:val="0"/>
          <w:caps w:val="0"/>
          <w:spacing w:val="0"/>
          <w:sz w:val="27"/>
          <w:szCs w:val="27"/>
          <w:shd w:val="clear" w:fill="FFFFFF"/>
          <w:vertAlign w:val="baseline"/>
        </w:rPr>
        <w:t>《衡阳市部分企业2019年青年人才需求目录》</w:t>
      </w:r>
      <w:r>
        <w:rPr>
          <w:rFonts w:hint="default" w:ascii="sans-serif" w:hAnsi="sans-serif" w:eastAsia="sans-serif" w:cs="sans-serif"/>
          <w:i w:val="0"/>
          <w:caps w:val="0"/>
          <w:spacing w:val="0"/>
          <w:sz w:val="27"/>
          <w:szCs w:val="27"/>
          <w:shd w:val="clear" w:fill="FFFFFF"/>
          <w:vertAlign w:val="baseline"/>
        </w:rPr>
        <w:fldChar w:fldCharType="end"/>
      </w:r>
    </w:p>
    <w:tbl>
      <w:tblPr>
        <w:tblStyle w:val="6"/>
        <w:tblW w:w="88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776"/>
        <w:gridCol w:w="450"/>
        <w:gridCol w:w="948"/>
        <w:gridCol w:w="1766"/>
        <w:gridCol w:w="1873"/>
        <w:gridCol w:w="1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eastAsia="方正小标宋简体" w:cs="Times New Roman"/>
                <w:bCs/>
              </w:rPr>
            </w:pPr>
            <w:r>
              <w:rPr>
                <w:rFonts w:ascii="Times New Roman" w:hAnsi="Times New Roman" w:eastAsia="方正小标宋简体" w:cs="Times New Roman"/>
                <w:bCs/>
              </w:rPr>
              <w:t>用人单位</w:t>
            </w:r>
          </w:p>
        </w:tc>
        <w:tc>
          <w:tcPr>
            <w:tcW w:w="776" w:type="dxa"/>
            <w:tcMar>
              <w:top w:w="0" w:type="dxa"/>
              <w:left w:w="51" w:type="dxa"/>
              <w:bottom w:w="0" w:type="dxa"/>
              <w:right w:w="51" w:type="dxa"/>
            </w:tcMar>
            <w:vAlign w:val="center"/>
          </w:tcPr>
          <w:p>
            <w:pPr>
              <w:spacing w:after="0" w:line="220" w:lineRule="atLeast"/>
              <w:jc w:val="center"/>
              <w:rPr>
                <w:rFonts w:ascii="Times New Roman" w:hAnsi="Times New Roman" w:eastAsia="方正小标宋简体" w:cs="Times New Roman"/>
                <w:bCs/>
              </w:rPr>
            </w:pPr>
            <w:r>
              <w:rPr>
                <w:rFonts w:ascii="Times New Roman" w:hAnsi="Times New Roman" w:eastAsia="方正小标宋简体" w:cs="Times New Roman"/>
                <w:bCs/>
              </w:rPr>
              <w:t>岗位</w:t>
            </w:r>
          </w:p>
        </w:tc>
        <w:tc>
          <w:tcPr>
            <w:tcW w:w="450" w:type="dxa"/>
            <w:tcMar>
              <w:top w:w="0" w:type="dxa"/>
              <w:left w:w="51" w:type="dxa"/>
              <w:bottom w:w="0" w:type="dxa"/>
              <w:right w:w="51" w:type="dxa"/>
            </w:tcMar>
            <w:vAlign w:val="center"/>
          </w:tcPr>
          <w:p>
            <w:pPr>
              <w:spacing w:after="0" w:line="220" w:lineRule="atLeast"/>
              <w:jc w:val="center"/>
              <w:rPr>
                <w:rFonts w:ascii="Times New Roman" w:hAnsi="Times New Roman" w:eastAsia="方正小标宋简体" w:cs="Times New Roman"/>
                <w:bCs/>
              </w:rPr>
            </w:pPr>
            <w:r>
              <w:rPr>
                <w:rFonts w:ascii="Times New Roman" w:hAnsi="Times New Roman" w:eastAsia="方正小标宋简体" w:cs="Times New Roman"/>
                <w:bCs/>
              </w:rPr>
              <w:t>人数</w:t>
            </w:r>
          </w:p>
        </w:tc>
        <w:tc>
          <w:tcPr>
            <w:tcW w:w="948" w:type="dxa"/>
            <w:tcMar>
              <w:top w:w="0" w:type="dxa"/>
              <w:left w:w="51" w:type="dxa"/>
              <w:bottom w:w="0" w:type="dxa"/>
              <w:right w:w="51" w:type="dxa"/>
            </w:tcMar>
            <w:vAlign w:val="center"/>
          </w:tcPr>
          <w:p>
            <w:pPr>
              <w:spacing w:after="0" w:line="220" w:lineRule="atLeast"/>
              <w:jc w:val="center"/>
              <w:rPr>
                <w:rFonts w:ascii="Times New Roman" w:hAnsi="Times New Roman" w:eastAsia="方正小标宋简体" w:cs="Times New Roman"/>
                <w:bCs/>
              </w:rPr>
            </w:pPr>
            <w:r>
              <w:rPr>
                <w:rFonts w:ascii="Times New Roman" w:hAnsi="Times New Roman" w:eastAsia="方正小标宋简体" w:cs="Times New Roman"/>
                <w:bCs/>
              </w:rPr>
              <w:t>学历学位</w:t>
            </w:r>
          </w:p>
        </w:tc>
        <w:tc>
          <w:tcPr>
            <w:tcW w:w="1766" w:type="dxa"/>
            <w:tcMar>
              <w:top w:w="0" w:type="dxa"/>
              <w:left w:w="51" w:type="dxa"/>
              <w:bottom w:w="0" w:type="dxa"/>
              <w:right w:w="51" w:type="dxa"/>
            </w:tcMar>
            <w:vAlign w:val="center"/>
          </w:tcPr>
          <w:p>
            <w:pPr>
              <w:spacing w:after="0" w:line="220" w:lineRule="atLeast"/>
              <w:jc w:val="center"/>
              <w:rPr>
                <w:rFonts w:ascii="Times New Roman" w:hAnsi="Times New Roman" w:eastAsia="方正小标宋简体" w:cs="Times New Roman"/>
                <w:bCs/>
              </w:rPr>
            </w:pPr>
            <w:r>
              <w:rPr>
                <w:rFonts w:ascii="Times New Roman" w:hAnsi="Times New Roman" w:eastAsia="方正小标宋简体" w:cs="Times New Roman"/>
                <w:bCs/>
              </w:rPr>
              <w:t>专业要求</w:t>
            </w:r>
          </w:p>
        </w:tc>
        <w:tc>
          <w:tcPr>
            <w:tcW w:w="1873" w:type="dxa"/>
            <w:tcMar>
              <w:top w:w="0" w:type="dxa"/>
              <w:left w:w="51" w:type="dxa"/>
              <w:bottom w:w="0" w:type="dxa"/>
              <w:right w:w="51" w:type="dxa"/>
            </w:tcMar>
            <w:vAlign w:val="center"/>
          </w:tcPr>
          <w:p>
            <w:pPr>
              <w:spacing w:after="0" w:line="220" w:lineRule="atLeast"/>
              <w:jc w:val="center"/>
              <w:rPr>
                <w:rFonts w:ascii="Times New Roman" w:hAnsi="Times New Roman" w:eastAsia="方正小标宋简体" w:cs="Times New Roman"/>
                <w:bCs/>
              </w:rPr>
            </w:pPr>
            <w:r>
              <w:rPr>
                <w:rFonts w:ascii="Times New Roman" w:hAnsi="Times New Roman" w:eastAsia="方正小标宋简体" w:cs="Times New Roman"/>
                <w:bCs/>
              </w:rPr>
              <w:t>其他要求</w:t>
            </w:r>
          </w:p>
        </w:tc>
        <w:tc>
          <w:tcPr>
            <w:tcW w:w="1709" w:type="dxa"/>
            <w:tcMar>
              <w:top w:w="0" w:type="dxa"/>
              <w:left w:w="51" w:type="dxa"/>
              <w:bottom w:w="0" w:type="dxa"/>
              <w:right w:w="51" w:type="dxa"/>
            </w:tcMar>
            <w:vAlign w:val="center"/>
          </w:tcPr>
          <w:p>
            <w:pPr>
              <w:spacing w:after="0" w:line="220" w:lineRule="atLeast"/>
              <w:jc w:val="center"/>
              <w:rPr>
                <w:rFonts w:ascii="Times New Roman" w:hAnsi="Times New Roman" w:eastAsia="方正小标宋简体" w:cs="Times New Roman"/>
                <w:bCs/>
              </w:rPr>
            </w:pPr>
            <w:r>
              <w:rPr>
                <w:rFonts w:ascii="Times New Roman" w:hAnsi="Times New Roman" w:eastAsia="方正小标宋简体" w:cs="Times New Roman"/>
                <w:bCs/>
              </w:rPr>
              <w:t>用人单位待遇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湖南省青鸟博宇</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互联网有限公司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前端开发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年龄30周岁以下</w:t>
            </w:r>
            <w:r>
              <w:rPr>
                <w:rFonts w:ascii="Times New Roman" w:hAnsi="Times New Roman" w:cs="Times New Roman" w:eastAsiaTheme="minorEastAsia"/>
                <w:sz w:val="20"/>
                <w:szCs w:val="20"/>
              </w:rPr>
              <w:t>；具有3年以上相关经验者优先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湖南省青鸟博宇</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互联网有限公司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技术支持</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年龄30周岁以下</w:t>
            </w:r>
            <w:r>
              <w:rPr>
                <w:rFonts w:ascii="Times New Roman" w:hAnsi="Times New Roman" w:cs="Times New Roman" w:eastAsiaTheme="minorEastAsia"/>
                <w:sz w:val="20"/>
                <w:szCs w:val="20"/>
              </w:rPr>
              <w:t>；具有1年以上相关经验者优先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湖南省青鸟博宇</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互联网有限公司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新媒体运营</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电子、通信、计算机类、新闻传播学类或外国语言文学类等相关专业</w:t>
            </w:r>
          </w:p>
        </w:tc>
        <w:tc>
          <w:tcPr>
            <w:tcW w:w="1873"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年龄30周岁以下；具有1年以上相关经验者优先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湖南省青鸟博宇</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互联网有限公司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UI设计师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艺术类等相关专业</w:t>
            </w:r>
          </w:p>
        </w:tc>
        <w:tc>
          <w:tcPr>
            <w:tcW w:w="1873"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年龄30周岁以下；具有2年以上相关经验者优先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湖南省青鸟博宇</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互联网有限公司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人力资源</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人力资源管理等相关专业</w:t>
            </w:r>
          </w:p>
        </w:tc>
        <w:tc>
          <w:tcPr>
            <w:tcW w:w="1873"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年龄30周岁以下；具有1年以上相关经验者优先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南岳电控（衡阳）</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工业技术股份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机械设计制造及其自动化、机械工程、机械电子工程、过程装备与控制工程、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工程力学、机械类相关专业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numPr>
                <w:ilvl w:val="0"/>
                <w:numId w:val="2"/>
              </w:num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年薪：本科生6万元；硕士研究生7.2万元以上；博士研究生20万元以上。2、安家费：本科生5000元；硕士研究生1万元；</w:t>
            </w:r>
          </w:p>
          <w:p>
            <w:pPr>
              <w:numPr>
                <w:ilvl w:val="0"/>
                <w:numId w:val="2"/>
              </w:num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博士研究生10万元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南岳电控（衡阳）工业技术股份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油泵工艺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能源与动力工程、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车辆工程相关专业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numPr>
                <w:ilvl w:val="0"/>
                <w:numId w:val="3"/>
              </w:num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年薪：本科生6万元；硕士研究生7.2万元以上；博士研究生20万元以上</w:t>
            </w:r>
            <w:r>
              <w:rPr>
                <w:rFonts w:hint="eastAsia" w:ascii="Times New Roman" w:hAnsi="Times New Roman" w:cs="Times New Roman" w:eastAsiaTheme="minorEastAsia"/>
                <w:sz w:val="20"/>
                <w:szCs w:val="20"/>
              </w:rPr>
              <w:t>。</w:t>
            </w:r>
            <w:r>
              <w:rPr>
                <w:rFonts w:ascii="Times New Roman" w:hAnsi="Times New Roman" w:cs="Times New Roman" w:eastAsiaTheme="minorEastAsia"/>
                <w:sz w:val="20"/>
                <w:szCs w:val="20"/>
              </w:rPr>
              <w:t>2、安家费：本科生5000元；硕士研究生1万元；</w:t>
            </w:r>
          </w:p>
          <w:p>
            <w:pPr>
              <w:numPr>
                <w:ilvl w:val="0"/>
                <w:numId w:val="3"/>
              </w:num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博士研究生10万元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湖南凯铭电子科技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副总经理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8000-12000元/月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湖南凯铭电子科技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高级工程师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电气工程类或电子、</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通信、计算机类</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8000-12000元/月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湖南凯铭电子科技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硬件研发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湖南凯铭电子科技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电控工程师（电气工程师）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湖南凯铭电子科技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单片机软件工程师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衡阳华菱钢管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安全技术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环境与安全类</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全日制本科生年龄25周岁以下，</w:t>
            </w:r>
          </w:p>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全日制硕士研究生年龄30周岁以下</w:t>
            </w:r>
          </w:p>
        </w:tc>
        <w:tc>
          <w:tcPr>
            <w:tcW w:w="1709"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转正后按岗定薪，管理岗位月均8000元以上、生产技术岗位月均9000元以上、技术研发岗位月均12000元以上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衡阳华菱钢管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信息管理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计算机科学与技术、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软件工程</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全日制本科生年龄25周岁以下，</w:t>
            </w:r>
          </w:p>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全日制硕士研究生年龄30周岁以下</w:t>
            </w:r>
          </w:p>
        </w:tc>
        <w:tc>
          <w:tcPr>
            <w:tcW w:w="1709"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转正后按岗定薪，管理岗位月均8000元以上、生产技术岗位月均9000元以上、技术研发岗位月均12000元以上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衡阳华菱钢管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电气设备</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hint="eastAsia"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电气工程及其自动化、自动化</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年龄25周岁以下</w:t>
            </w:r>
          </w:p>
        </w:tc>
        <w:tc>
          <w:tcPr>
            <w:tcW w:w="1709"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转正后按岗定薪，管理岗位月均8000元以上、生产技术岗位月均9000元以上、技术研发岗位月均12000元以上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衡阳桑谷医疗机器人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结构工程师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机械类、材料类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全日制本科毕业生</w:t>
            </w:r>
            <w:r>
              <w:rPr>
                <w:rFonts w:ascii="Times New Roman" w:hAnsi="Times New Roman" w:cs="Times New Roman" w:eastAsiaTheme="minorEastAsia"/>
                <w:spacing w:val="-11"/>
                <w:sz w:val="20"/>
                <w:szCs w:val="20"/>
              </w:rPr>
              <w:t>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年综合薪酬5-7万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衡阳桑谷医疗机器人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软件工程师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全日制本科毕业生</w:t>
            </w:r>
            <w:r>
              <w:rPr>
                <w:rFonts w:ascii="Times New Roman" w:hAnsi="Times New Roman" w:cs="Times New Roman" w:eastAsiaTheme="minorEastAsia"/>
                <w:spacing w:val="-11"/>
                <w:sz w:val="20"/>
                <w:szCs w:val="20"/>
              </w:rPr>
              <w:t>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年综合薪酬5-7万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衡阳桑谷医疗机器人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电气类、自动化类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年综合薪酬5-7万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衡阳桑谷医疗机器人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品质工程师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年综合薪酬5-7万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衡阳华意机械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外贸经理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国际商务、机械工程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衡阳华意机械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调试工程师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机械工程、自动化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衡阳华意机械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衡阳华意机械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机械电子工程、电气工程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及其自动化等相关专业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衡阳华意机械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区域营销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经理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机械工程、市场营销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衡阳华意机械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CNC</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机械工程等相关专业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湖南皖湘科技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市场专员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市场营销、工商管理、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3-6万元/年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湖南皖湘科技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档案录入员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计算机类、工商管理、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会计学等相关专业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湖南皖湘科技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项目经理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湖南皖湘科技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商务文员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计算机类、工商管理、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金融学类等相关专业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湖南皖湘科技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方案设计师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计算机类、设计学类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湖南皖湘科技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开发工程师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3-12万元/年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湖南皖湘科技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会计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会计学、财务管理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湖南皖湘科技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网络工程师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湖南工商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职业学院</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教师一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（工学院专任教师）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机械类；电子、通信、计算机类；</w:t>
            </w:r>
            <w:r>
              <w:rPr>
                <w:rFonts w:ascii="Times New Roman" w:hAnsi="Times New Roman" w:cs="Times New Roman" w:eastAsiaTheme="minorEastAsia"/>
                <w:sz w:val="20"/>
                <w:szCs w:val="20"/>
              </w:rPr>
              <w:t>土建类；交通运输类；药学类；护理学类；数学类；控制科学与工程类；体育学类；化学工程与技术类；电气工程类；</w:t>
            </w:r>
          </w:p>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食品与生物类等相关专业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6"/>
                <w:sz w:val="20"/>
                <w:szCs w:val="20"/>
              </w:rPr>
            </w:pPr>
            <w:r>
              <w:rPr>
                <w:rFonts w:ascii="Times New Roman" w:hAnsi="Times New Roman" w:cs="Times New Roman" w:eastAsiaTheme="minorEastAsia"/>
                <w:spacing w:val="-6"/>
                <w:sz w:val="20"/>
                <w:szCs w:val="20"/>
              </w:rPr>
              <w:t>具有教学经验者</w:t>
            </w:r>
          </w:p>
          <w:p>
            <w:pPr>
              <w:spacing w:after="0" w:line="240" w:lineRule="atLeast"/>
              <w:jc w:val="center"/>
              <w:rPr>
                <w:rFonts w:ascii="Times New Roman" w:hAnsi="Times New Roman" w:cs="Times New Roman" w:eastAsiaTheme="minorEastAsia"/>
                <w:spacing w:val="-6"/>
                <w:sz w:val="20"/>
                <w:szCs w:val="20"/>
              </w:rPr>
            </w:pPr>
            <w:r>
              <w:rPr>
                <w:rFonts w:ascii="Times New Roman" w:hAnsi="Times New Roman" w:cs="Times New Roman" w:eastAsiaTheme="minorEastAsia"/>
                <w:spacing w:val="-6"/>
                <w:sz w:val="20"/>
                <w:szCs w:val="20"/>
              </w:rPr>
              <w:t>或相关专业技术职称者</w:t>
            </w:r>
          </w:p>
          <w:p>
            <w:pPr>
              <w:spacing w:after="0" w:line="240" w:lineRule="atLeast"/>
              <w:jc w:val="center"/>
              <w:rPr>
                <w:rFonts w:ascii="Times New Roman" w:hAnsi="Times New Roman" w:cs="Times New Roman" w:eastAsiaTheme="minorEastAsia"/>
                <w:spacing w:val="-6"/>
                <w:sz w:val="20"/>
                <w:szCs w:val="20"/>
              </w:rPr>
            </w:pPr>
            <w:r>
              <w:rPr>
                <w:rFonts w:ascii="Times New Roman" w:hAnsi="Times New Roman" w:cs="Times New Roman" w:eastAsiaTheme="minorEastAsia"/>
                <w:spacing w:val="-6"/>
                <w:sz w:val="20"/>
                <w:szCs w:val="20"/>
              </w:rPr>
              <w:t>或参加技能竞赛获奖者，</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6"/>
                <w:sz w:val="20"/>
                <w:szCs w:val="20"/>
              </w:rPr>
              <w:t>可优先考虑</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全日制本科生年薪5-10万，</w:t>
            </w:r>
            <w:r>
              <w:rPr>
                <w:rFonts w:ascii="Times New Roman" w:hAnsi="Times New Roman" w:cs="Times New Roman" w:eastAsiaTheme="minorEastAsia"/>
                <w:sz w:val="20"/>
                <w:szCs w:val="20"/>
              </w:rPr>
              <w:t>全日制硕士研究生年薪7-15万，博士研究生年薪10-30万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湖南工商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职业学院</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教师二</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（商学院专任教师）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经济学类；工商管理类；公共管理类；社会学类；教育学类；中国语言文学类；外国语言文学类；政治学类；哲学类；艺术类等相关专业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具有教学经验者或相关专业技术职称者或参加技能竞赛获奖者，可优先考虑</w:t>
            </w:r>
          </w:p>
        </w:tc>
        <w:tc>
          <w:tcPr>
            <w:tcW w:w="1709"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全日制本科生年薪5-10万，全日制硕士研究生年薪7-15万，博士研究生年薪10-30万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湖南工商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职业学院</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辅导员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不限</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中共党员或思想政治专业毕业并有学生管理经验者，可优先考虑</w:t>
            </w:r>
          </w:p>
        </w:tc>
        <w:tc>
          <w:tcPr>
            <w:tcW w:w="1709"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全日制本科生年薪5-12万，全日制硕士研究生年薪7-15万，博士研究生年薪10-30万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金杯电工衡阳电缆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市场部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部长</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新闻传播学类、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1、具有较丰富的市场营销知识和五年以上品牌维护工作经验；2、有较强的管理协调能力和沟通能力；3、有一定的写作能力</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10-15万元/年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金杯电工衡阳电缆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hint="eastAsia"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机械类、材料类、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１、具有较丰富的机械设备管理专业知识和三年以上机械设计及维修工作经验；2、有一定的管理协调能力和沟通能力</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5-8万元/年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金杯电工衡阳电缆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hint="eastAsia"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材料类、机械类、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1、具有一年以上工作经验优先；2、 掌握电线电缆生产工艺流程和工艺特点</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5-8万元/年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金杯电工衡阳电缆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hint="eastAsia"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材料类、机械类、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1、具有较丰富的电气专业知识和三年以上电气设计和维修工作经验；</w:t>
            </w:r>
            <w:r>
              <w:rPr>
                <w:rFonts w:ascii="Times New Roman" w:hAnsi="Times New Roman" w:cs="Times New Roman" w:eastAsiaTheme="minorEastAsia"/>
                <w:spacing w:val="-17"/>
                <w:sz w:val="20"/>
                <w:szCs w:val="20"/>
              </w:rPr>
              <w:t>2、 有一定的管理协调能力和沟通能力</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5-8万元/年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金杯电工衡阳电缆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保卫部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部长</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工商管理类、公安学类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 具有五年以上保安及相关管理工作经验，有制造企业工作经验者优先；2、 具有一定安保技能及具备一定的消防安全、业务知识等，具有较强的组织管理能力</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7-9万元/年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衡阳北方光电信息技术有限公司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电子设计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电子信息工程、电子科学与技术、测控技术与仪器、电子信息科学与技术、通信工程、电子、通信、计算机类等相关专业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能熟练掌握岗位</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专业软件</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衡阳北方光电信息技术有限公司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软件设计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能熟练掌握岗位</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专业软件</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5-12万元/年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衡阳北方光电信息技术有限公司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管理岗位</w:t>
            </w:r>
            <w:r>
              <w:rPr>
                <w:rFonts w:hint="eastAsia" w:ascii="Times New Roman" w:hAnsi="Times New Roman" w:cs="Times New Roman" w:eastAsiaTheme="minorEastAsia"/>
                <w:sz w:val="20"/>
                <w:szCs w:val="20"/>
              </w:rPr>
              <w:t>1</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经济学类、工商管理类、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公共管理类、法学类、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具有相关行业岗位</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工作经验</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4-8万元/年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衡阳北方光电信息技术有限公司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管理岗位</w:t>
            </w:r>
            <w:r>
              <w:rPr>
                <w:rFonts w:hint="eastAsia" w:ascii="Times New Roman" w:hAnsi="Times New Roman" w:cs="Times New Roman" w:eastAsiaTheme="minorEastAsia"/>
                <w:sz w:val="20"/>
                <w:szCs w:val="20"/>
              </w:rPr>
              <w:t>2</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自动化类、机械类等相关专业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4-12万元/年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衡阳镭目科技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软件</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计算机科学与技术、软件工程、网络工程、材料科学与工程、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信息与计算科学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本科生5-10万/年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研究生7-15万/年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博士15-30万/年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衡阳镭目科技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材料科学与工程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本科生5-10万/年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研究生7-15万/年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博士15-30万/年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衡阳镭目科技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电子信息工程、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材料科学与工程、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物联网工程等相关专业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本科生5-10万/年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研究生7-15万/年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博士15-30万/年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衡阳镭目科技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机械设计制造及其自动化、机械电子工程、工业设计等相关专业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本科生5-10万/年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研究生7-15万/年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博士15-30万/年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衡阳镭目科技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本科生5-10万/年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研究生7-15万/年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博士15-30万/年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衡阳镭目科技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图像处理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计算机科学与技术、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软件工程、网络工程、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本科生5-10万/年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研究生7-15万/年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博士15-30万/年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衡阳镭目科技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财务会计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会计学、财务管理、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审计学、税务学等相关专业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本科生5-10万/年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研究生7-15万/年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博士15-30万/年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衡阳镭目科技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核电</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核工程与核技术、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辐射防护与核安全、工程物理、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核化工与核燃料工程等相关专业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本科生5-10万/年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研究生7-15万/年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博士15-30万/年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衡阳镭目科技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培训发展</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主管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20" w:lineRule="exac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人力资源管理、企业管理</w:t>
            </w:r>
          </w:p>
          <w:p>
            <w:pPr>
              <w:spacing w:after="0" w:line="220" w:lineRule="exac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（含：财务管理、市场营销、</w:t>
            </w:r>
          </w:p>
          <w:p>
            <w:pPr>
              <w:spacing w:after="0" w:line="220" w:lineRule="exac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人力资源管理）、</w:t>
            </w:r>
            <w:r>
              <w:rPr>
                <w:rFonts w:ascii="Times New Roman" w:hAnsi="Times New Roman" w:cs="Times New Roman" w:eastAsiaTheme="minorEastAsia"/>
                <w:spacing w:val="-11"/>
                <w:sz w:val="20"/>
                <w:szCs w:val="20"/>
              </w:rPr>
              <w:t>公共事业管理、</w:t>
            </w:r>
            <w:r>
              <w:rPr>
                <w:rFonts w:ascii="Times New Roman" w:hAnsi="Times New Roman" w:cs="Times New Roman" w:eastAsiaTheme="minorEastAsia"/>
                <w:sz w:val="20"/>
                <w:szCs w:val="20"/>
              </w:rPr>
              <w:t>行政管理、工商管理、心理学、</w:t>
            </w:r>
          </w:p>
          <w:p>
            <w:pPr>
              <w:spacing w:after="0" w:line="220" w:lineRule="exac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应用心理学等相关专业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本科生5-10万/年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研究生7-15万/年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博士15-30万/年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衡阳镭目科技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算法</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计算机科学与技术、软件工程、</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网络工程、信息与计算</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科学、数学等相关专业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本科生5-10万/年，研究生7-15万/年，博士15-30万/年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16</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机械设计制造及其自动化、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机械工程、材料成型及</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控制工程等相关专业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销售</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不限</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3000元/月+业绩提成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财务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审计类</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会计学、财务会计教育、</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财务管理、经济学类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企业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经济学类、工商管理类、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资源岗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人力资源管理、公共事业管理、劳动与社会保障等工商管理类及公共管理类专业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采购岗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经济学类、工商管理类、机械类、电气工程类、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安全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安全工程、消防工程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党工</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文化岗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中国语言文学类、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新闻传播学类等相关专业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质量</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生产</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设备</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新疆特变电工集团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衡阳电气分公司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法务岗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法学类相关专业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衡阳富泰宏精密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工业有限公司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OPM</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英语、国际经济与贸易、</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翻译、工商管理等相关专业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全日制本科毕业生年龄30周岁以下、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月综合工资</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5000-6000元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衡阳富泰宏精密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工业有限公司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生产</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企划专员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7"/>
                <w:sz w:val="20"/>
                <w:szCs w:val="20"/>
              </w:rPr>
            </w:pPr>
            <w:r>
              <w:rPr>
                <w:rFonts w:ascii="Times New Roman" w:hAnsi="Times New Roman" w:cs="Times New Roman" w:eastAsiaTheme="minorEastAsia"/>
                <w:spacing w:val="-17"/>
                <w:sz w:val="20"/>
                <w:szCs w:val="20"/>
              </w:rPr>
              <w:t>物流管理、国际经济与贸易、</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物流工程、信息与计算科学等相关专业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月综合工资</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5000-6000元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衡阳富泰宏精密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工业有限公司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SMT</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电子信息工程、英语、</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月综合工资</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5000-6000元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衡阳富泰宏精密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工业有限公司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19</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电子信息科学与技术、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机械设计制造及其自动化、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通信工程、软件工程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月综合工资</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5000-6000元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衡阳富泰宏精密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工业有限公司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EPM</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hint="eastAsia"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英语、国际经济与贸易、</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翻译等相关专业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月综合工资</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5000-6000元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衡阳富泰宏精密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工业有限公司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WEB开发工程师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计算机科学与技术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月综合工资</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5000-6000元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衡阳富泰宏精密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工业有限公司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SFC开发工程师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计算机科学与技术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月综合工资</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5000-6000元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衡阳运输机械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外贸</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英语、其他外国语</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1、女性；2、有从事对外贸易相关经验者优先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4500-6500元/月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衡阳运输机械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产品</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设计员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机械设计制造及其自动化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1、能熟练运用CAD、ANSYS等软件，能独立操作电脑绘图并制定设计方案；2、从事带式输送机设计或研发相关工作经验3年以上者优先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衡阳运输机械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人事专干</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人力资源管理等相关专业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1、男性；2、有企业管理、环境管理相关经验者及中共党员优先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6"/>
                <w:sz w:val="20"/>
                <w:szCs w:val="20"/>
              </w:rPr>
              <w:t>湖南中核金原新材料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科研检测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中心1</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材料物理与化学</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年龄35周岁以下</w:t>
            </w:r>
          </w:p>
        </w:tc>
        <w:tc>
          <w:tcPr>
            <w:tcW w:w="1709"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1.工资奖金：7000-9000元/月；2.津补贴最高1500元/月；3.福利：免费提供每天早、中、晚及午夜四餐+对无房户提供住房补助300元/月限额报销+生日蛋糕200元/次+安家费硕士3000元（本科1500元）+节日福利物资；4.缴纳五险一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湖南中核金原新材料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科研检测中心2</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化学工程与工艺</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1.工资奖金：7000-9000元/月；2.津补贴最高1500元/月；3.福利：免费提供每天早、中、晚及午夜四餐+对无房户提供住房补助300元/月限额报销+生日蛋糕200元/次+安家费硕士3000元（本科1500元）+节日福利物资；4.缴纳五险一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湖南中核金原新材料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科研检测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中心3</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过程装备与控制工程</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1.工资奖金：7000-9000元/月；2.津补贴最高1500元/月；3.福利：免费提供每天早、中、晚及午夜四餐+对无房户提供住房补助300元/月限额报销+生日蛋糕200元/次+安家费硕士3000元（本科1500元）+节日福利物资；4.缴纳五险一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湖南稀土新材料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有限</w:t>
            </w:r>
            <w:r>
              <w:rPr>
                <w:rFonts w:ascii="Times New Roman" w:hAnsi="Times New Roman" w:cs="Times New Roman" w:eastAsiaTheme="minorEastAsia"/>
                <w:sz w:val="20"/>
                <w:szCs w:val="20"/>
              </w:rPr>
              <w:t>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r>
              <w:rPr>
                <w:rFonts w:ascii="Times New Roman" w:hAnsi="Times New Roman" w:cs="Times New Roman" w:eastAsiaTheme="minorEastAsia"/>
                <w:sz w:val="20"/>
                <w:szCs w:val="20"/>
              </w:rPr>
              <w:br w:type="textWrapping"/>
            </w: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材料科学与工程相关专业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年收入6-8万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湖南稀土新材料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有限</w:t>
            </w:r>
            <w:r>
              <w:rPr>
                <w:rFonts w:ascii="Times New Roman" w:hAnsi="Times New Roman" w:cs="Times New Roman" w:eastAsiaTheme="minorEastAsia"/>
                <w:sz w:val="20"/>
                <w:szCs w:val="20"/>
              </w:rPr>
              <w:t>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销售人员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市场营销相关专业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岗位工资加业绩提成，年收入8万以上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湖南稀土新材料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有限</w:t>
            </w:r>
            <w:r>
              <w:rPr>
                <w:rFonts w:ascii="Times New Roman" w:hAnsi="Times New Roman" w:cs="Times New Roman" w:eastAsiaTheme="minorEastAsia"/>
                <w:sz w:val="20"/>
                <w:szCs w:val="20"/>
              </w:rPr>
              <w:t>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年收入6-8万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湖南稀土新材料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有限</w:t>
            </w:r>
            <w:r>
              <w:rPr>
                <w:rFonts w:ascii="Times New Roman" w:hAnsi="Times New Roman" w:cs="Times New Roman" w:eastAsiaTheme="minorEastAsia"/>
                <w:sz w:val="20"/>
                <w:szCs w:val="20"/>
              </w:rPr>
              <w:t>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质检人员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化学工程相关专业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年收入6-8万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衡阳智电客车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营销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5-50万元/年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衡阳智电客车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行政</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财务人员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工商管理类、经济学类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衡阳智电客车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操作</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5-15万元/年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衡阳智电客车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高级</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经济类及相关专业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20-100万元/年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衡阳智电客车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5-30万元/年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衡阳智电客车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生产</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5-20万元/年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采矿技干</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 xml:space="preserve">                                                        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地矿类相关专业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选矿技干</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地矿类相关专业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地质（水文）技干</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地质学类、地矿类、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水利类、水利工程类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测量技干</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测绘类相关专业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人力资源</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公共管理类相关专业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会计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安全管理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环境与安全类相关专业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环境工程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环境与安全类、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环境科学与工程类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法律专干</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法学类相关专业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计算机技术员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土木工程技术员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土建类、工商管理类相关专业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冶金技干</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机械技干</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湖南水口山有色金属</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电气工程技干</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985、211大学毕业生5000-7000元/月，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其他大学毕业生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燕京啤酒（衡阳）</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市场营销</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市场营销、电子商务、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国际经济与贸易等相关专业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燕京啤酒（衡阳）</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生产管理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机械设计制造及其自动化、</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电气工程及其自动化、</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生物工程、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食品科学与工程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燕京啤酒（衡阳）</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企业管理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人力资源管理、企业管理、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财务管理、汉语言文学、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　</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position w:val="-1"/>
                <w:sz w:val="20"/>
                <w:szCs w:val="20"/>
              </w:rPr>
              <w:t>人力资源专员</w:t>
            </w:r>
            <w:r>
              <w:rPr>
                <w:rFonts w:ascii="Times New Roman" w:hAnsi="Times New Roman" w:cs="Times New Roman" w:eastAsiaTheme="minorEastAsia"/>
                <w:sz w:val="20"/>
                <w:szCs w:val="20"/>
              </w:rPr>
              <w:t>（培训、招聘、薪酬）</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人力资源管理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具有中小型生产企业人力资源管理工作经验，能独立开展招聘培训工作</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1354" w:type="dxa"/>
            <w:tcMar>
              <w:top w:w="0" w:type="dxa"/>
              <w:left w:w="51" w:type="dxa"/>
              <w:bottom w:w="0" w:type="dxa"/>
              <w:right w:w="51" w:type="dxa"/>
            </w:tcMar>
            <w:vAlign w:val="center"/>
          </w:tcPr>
          <w:p>
            <w:pPr>
              <w:spacing w:after="0" w:line="240" w:lineRule="atLeast"/>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主办会计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财务管理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具有中小型生产企业财务岗位工作经验，能独立开展会计核算工作</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安全专员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安全工程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具有中小型生产企业安全岗位管理工作经验，熟悉安全法律法规，擅长于安全风险辨识及现场安全管理等工作</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jc w:val="center"/>
        </w:trPr>
        <w:tc>
          <w:tcPr>
            <w:tcW w:w="1354" w:type="dxa"/>
            <w:tcMar>
              <w:top w:w="0" w:type="dxa"/>
              <w:left w:w="51" w:type="dxa"/>
              <w:bottom w:w="0" w:type="dxa"/>
              <w:right w:w="51" w:type="dxa"/>
            </w:tcMar>
            <w:vAlign w:val="center"/>
          </w:tcPr>
          <w:p>
            <w:pPr>
              <w:spacing w:after="0" w:line="240" w:lineRule="atLeast"/>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环保专员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环境工程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具有中小型生产企业环保岗位管理工作经验，熟悉环保法律法规，擅长环保风险辨识及现场环保管理工作</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354" w:type="dxa"/>
            <w:tcMar>
              <w:top w:w="0" w:type="dxa"/>
              <w:left w:w="51" w:type="dxa"/>
              <w:bottom w:w="0" w:type="dxa"/>
              <w:right w:w="51" w:type="dxa"/>
            </w:tcMar>
            <w:vAlign w:val="center"/>
          </w:tcPr>
          <w:p>
            <w:pPr>
              <w:spacing w:after="0" w:line="240" w:lineRule="atLeast"/>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IT专员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电子信息工程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具有中小型生产企业IT设备运维、服务器运维、网络设施管控经验</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5"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国际贸易</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国际经济与贸易</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1、具有2年以上外贸工作经验；2、具有1门以上外语口语交流能力</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8000-12000元/月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生产</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应用化学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具有1年以上中小型化学化工企业生产一线工作经验，熟悉精细化工产品的研发、生产与工艺控制</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设备</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机械设计制造及其自动化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具有2年以上中小型生产制造企业一线生产设备运维及管理经验，熟悉设备选型、自动化实现等技术能力</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化学工程与工艺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1、具有2年以上中小型化学化工企业化工工艺管理工作经验，熟悉工艺研发、技术改造；2、具有50万元以上规模的化工工程项目经验</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土建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土木工程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具有2年以上中小型企业土木工程建设工作经验，能独立开展项目预结算、工程设计、项目管理</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证券师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经济与金融</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具有证券行业从业经验，熟悉上市企业运作</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湖南恒光化工</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培训生</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管理科学等相关专业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接受企业一线业务岗位培育，服务期不低于两年</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衡阳市振洋汽车配件</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模具</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机械设计制造及其自动化、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材料成型及控制工程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numPr>
                <w:ilvl w:val="0"/>
                <w:numId w:val="4"/>
              </w:num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熟悉合金模具设计、制造、合金模锻锻造工艺，具备管理模具锻造工厂的能力；</w:t>
            </w:r>
          </w:p>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2、具有高级职称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10-15万元/年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衡阳市振洋汽车配件</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精密机床/CNC工厂</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负责人</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机械设计制造及其自动化、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机械工艺技术等相关专业</w:t>
            </w:r>
          </w:p>
        </w:tc>
        <w:tc>
          <w:tcPr>
            <w:tcW w:w="1873" w:type="dxa"/>
            <w:tcMar>
              <w:top w:w="0" w:type="dxa"/>
              <w:left w:w="51" w:type="dxa"/>
              <w:bottom w:w="0" w:type="dxa"/>
              <w:right w:w="51" w:type="dxa"/>
            </w:tcMar>
            <w:vAlign w:val="center"/>
          </w:tcPr>
          <w:p>
            <w:pPr>
              <w:numPr>
                <w:ilvl w:val="0"/>
                <w:numId w:val="5"/>
              </w:num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具有广数/法兰克系统编程等技能，精益生产管理能力，具有管理机械加工工厂经验并有职业案例；</w:t>
            </w:r>
          </w:p>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2、具有高级职称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10-15万元/年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衡阳市振洋汽车配件</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锻压机/精密机床/CNC</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维修工程师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机械工程、机械电子工程、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机械设计及理论等相关专业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1、负责数控车床/CNC设备养护、维修，工厂设备管理、养护培训、维修、检查；2、具有中级及以上职称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华融建筑工程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总工</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建筑学、工程管理、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土木工程等相关专业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1、具有中级及以上职称； 2、具有5年以上行业同岗位工作经验</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税前</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1.2-1.5万元/月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华融建筑工程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主管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施工员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建筑学、工程管理、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土木工程等相关专业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1、具有二级/一级建造师证书；2、具有3年以上行业同岗位工作经验；3、具有中级职称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税前</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7000-10000元/月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华融建筑工程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主办会计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财政学、财务管理、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审计、金融学等相关专业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1、具有中级以上职称； 2、具有3年以上行业同岗位工作经验，熟悉会计法、税法；3、有地产行业工作经验者优先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税前</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华融建筑工程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总经理秘书</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汉语言文学、行政管理、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人力资源管理、播音与主持艺术等相关专业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可接收见习生，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限女性</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华融建筑工程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项目管理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见习生</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建筑学、工程管理、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土木工程等相关专业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具有岗位相关</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资格证书</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见习工资2400元/月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（包住，不包吃）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华融建筑工程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BIM建模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见习生</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计算机科学与技术、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工程管理、</w:t>
            </w:r>
            <w:r>
              <w:rPr>
                <w:rFonts w:ascii="Times New Roman" w:hAnsi="Times New Roman" w:cs="Times New Roman" w:eastAsiaTheme="minorEastAsia"/>
                <w:spacing w:val="-11"/>
                <w:sz w:val="20"/>
                <w:szCs w:val="20"/>
              </w:rPr>
              <w:t>数字媒体技术、</w:t>
            </w:r>
            <w:r>
              <w:rPr>
                <w:rFonts w:ascii="Times New Roman" w:hAnsi="Times New Roman" w:cs="Times New Roman" w:eastAsiaTheme="minorEastAsia"/>
                <w:sz w:val="20"/>
                <w:szCs w:val="20"/>
              </w:rPr>
              <w:t>建筑学、土木工程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能熟练操作CAD</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等设计软件</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见习工资2400元/月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（包住，不包吃）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华融建筑工程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预结算员</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见习生</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工程造价、工程管理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熟悉广联达、易投、</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知多星、斯维尔</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等相关预结算软件</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见习工资2400元/月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（包住，不包吃）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华融建筑工程</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招投标</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见习生</w:t>
            </w:r>
          </w:p>
        </w:tc>
        <w:tc>
          <w:tcPr>
            <w:tcW w:w="450"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工程造价、工程管理</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能熟练操作OFFICE</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办公软件</w:t>
            </w:r>
          </w:p>
        </w:tc>
        <w:tc>
          <w:tcPr>
            <w:tcW w:w="1709"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见习工资2400元/月</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（包住，不包吃）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湖南天雁机械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产品设计及应用开发</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14</w:t>
            </w:r>
          </w:p>
        </w:tc>
        <w:tc>
          <w:tcPr>
            <w:tcW w:w="948" w:type="dxa"/>
            <w:tcMar>
              <w:top w:w="0" w:type="dxa"/>
              <w:left w:w="51" w:type="dxa"/>
              <w:bottom w:w="0" w:type="dxa"/>
              <w:right w:w="51" w:type="dxa"/>
            </w:tcMar>
            <w:vAlign w:val="center"/>
          </w:tcPr>
          <w:p>
            <w:pPr>
              <w:tabs>
                <w:tab w:val="left" w:pos="364"/>
              </w:tabs>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tabs>
                <w:tab w:val="left" w:pos="364"/>
              </w:tabs>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tabs>
                <w:tab w:val="left" w:pos="364"/>
              </w:tabs>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车辆工程、能源与动力工程、</w:t>
            </w:r>
            <w:r>
              <w:rPr>
                <w:rFonts w:ascii="Times New Roman" w:hAnsi="Times New Roman" w:cs="Times New Roman" w:eastAsiaTheme="minorEastAsia"/>
                <w:sz w:val="20"/>
                <w:szCs w:val="20"/>
              </w:rPr>
              <w:t>机械制造及其自动化、流体力学等相关专业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全日制本科生3500元/月；</w:t>
            </w: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4500元/月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湖南天雁机械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质量技术</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机械设计制造及其自动化、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材料成型及控制工程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rPr>
            </w:pPr>
            <w:r>
              <w:rPr>
                <w:rFonts w:ascii="Times New Roman" w:hAnsi="Times New Roman" w:cs="Times New Roman" w:eastAsiaTheme="minorEastAsia"/>
                <w:sz w:val="20"/>
                <w:szCs w:val="20"/>
              </w:rPr>
              <w:t>3500元以上/月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湖南天雁机械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理化、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计量技术</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机械类、材料成型及控制工程、测控技术与仪器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rPr>
            </w:pPr>
            <w:r>
              <w:rPr>
                <w:rFonts w:ascii="Times New Roman" w:hAnsi="Times New Roman" w:cs="Times New Roman" w:eastAsiaTheme="minorEastAsia"/>
                <w:sz w:val="20"/>
                <w:szCs w:val="20"/>
              </w:rPr>
              <w:t>3500元以上/月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湖南天雁机械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现场技术</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机械设计制造及其自动化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rPr>
            </w:pPr>
            <w:r>
              <w:rPr>
                <w:rFonts w:ascii="Times New Roman" w:hAnsi="Times New Roman" w:cs="Times New Roman" w:eastAsiaTheme="minorEastAsia"/>
                <w:sz w:val="20"/>
                <w:szCs w:val="20"/>
              </w:rPr>
              <w:t>3500元以上/月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湖南天雁机械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热、</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表处理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rPr>
            </w:pPr>
            <w:r>
              <w:rPr>
                <w:rFonts w:ascii="Times New Roman" w:hAnsi="Times New Roman" w:cs="Times New Roman" w:eastAsiaTheme="minorEastAsia"/>
                <w:sz w:val="20"/>
                <w:szCs w:val="20"/>
              </w:rPr>
              <w:t>3500元以上/月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湖南天雁机械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设备技术</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机械设计制造及其自动化、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rPr>
            </w:pPr>
            <w:r>
              <w:rPr>
                <w:rFonts w:ascii="Times New Roman" w:hAnsi="Times New Roman" w:cs="Times New Roman" w:eastAsiaTheme="minorEastAsia"/>
                <w:sz w:val="20"/>
                <w:szCs w:val="20"/>
              </w:rPr>
              <w:t>3500元以上/月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湖南天雁机械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文秘、</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宣传</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秘书学、历史学、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哲学等相关专业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rPr>
            </w:pPr>
            <w:r>
              <w:rPr>
                <w:rFonts w:ascii="Times New Roman" w:hAnsi="Times New Roman" w:cs="Times New Roman" w:eastAsiaTheme="minorEastAsia"/>
                <w:sz w:val="20"/>
                <w:szCs w:val="20"/>
              </w:rPr>
              <w:t>3500元以上/月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湖南天雁机械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财务、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审计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会计学等相关专业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rPr>
            </w:pPr>
            <w:r>
              <w:rPr>
                <w:rFonts w:ascii="Times New Roman" w:hAnsi="Times New Roman" w:cs="Times New Roman" w:eastAsiaTheme="minorEastAsia"/>
                <w:sz w:val="20"/>
                <w:szCs w:val="20"/>
              </w:rPr>
              <w:t>3500元以上/月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湖南天雁机械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安全环保</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环境与安全类等相关专业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rPr>
            </w:pPr>
            <w:r>
              <w:rPr>
                <w:rFonts w:ascii="Times New Roman" w:hAnsi="Times New Roman" w:cs="Times New Roman" w:eastAsiaTheme="minorEastAsia"/>
                <w:sz w:val="20"/>
                <w:szCs w:val="20"/>
              </w:rPr>
              <w:t>3500元以上/月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湖南天雁机械</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企业管理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rPr>
            </w:pPr>
            <w:r>
              <w:rPr>
                <w:rFonts w:ascii="Times New Roman" w:hAnsi="Times New Roman" w:cs="Times New Roman" w:eastAsiaTheme="minorEastAsia"/>
                <w:sz w:val="20"/>
                <w:szCs w:val="20"/>
              </w:rPr>
              <w:t>3500元以上/月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机械类、材料类、电气类、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公共管理类等相关专业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熟悉通信原理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及控制原理</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5-7万元/年；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7-9万元/年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机械类、材料类、电气类、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公共管理类等相关专业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熟悉电气原理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及控制原理</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6-9万元/年；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结构</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机械类、材料类、电气类、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公共管理类等相关专业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熟悉机械原理，熟练操作Creo三维设计软件</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6-9万元/年；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结构工程师（复合材料）</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机械类、材料类、电气类、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公共管理类等相关专业</w:t>
            </w:r>
          </w:p>
        </w:tc>
        <w:tc>
          <w:tcPr>
            <w:tcW w:w="1873" w:type="dxa"/>
            <w:tcMar>
              <w:top w:w="0" w:type="dxa"/>
              <w:left w:w="51" w:type="dxa"/>
              <w:bottom w:w="0" w:type="dxa"/>
              <w:right w:w="51" w:type="dxa"/>
            </w:tcMar>
            <w:vAlign w:val="center"/>
          </w:tcPr>
          <w:p>
            <w:pPr>
              <w:spacing w:after="0" w:line="240" w:lineRule="atLeast"/>
              <w:rPr>
                <w:rFonts w:ascii="Times New Roman" w:hAnsi="Times New Roman" w:cs="Times New Roman" w:eastAsiaTheme="minorEastAsia"/>
                <w:sz w:val="20"/>
                <w:szCs w:val="20"/>
              </w:rPr>
            </w:pPr>
            <w:r>
              <w:rPr>
                <w:rFonts w:ascii="Times New Roman" w:hAnsi="Times New Roman" w:cs="Times New Roman" w:eastAsiaTheme="minorEastAsia"/>
                <w:sz w:val="20"/>
                <w:szCs w:val="20"/>
              </w:rPr>
              <w:t>1、熟悉复合材料（玻璃纤维、碳纤维）的特性及成型工艺；2、熟练操作AutoCAD、Creo三维设计软件、Ansys Workbench复合材料分析软件等</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6-9万元/年；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工艺工程师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全日制本科/全日制硕士研究生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机械类、材料类、电气类、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公共管理类等相关专业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熟悉机械制造、</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金属材料性能等知识，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熟悉常用焊接设备的工作原理和参数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全日制本科生6-9万元/年；全日制硕士研究生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研发管理专员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全日制本科/全日制硕士研究生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机械类、材料类、电气类、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公共管理类等相关专业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熟练操作office</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办公软件</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全日制本科生6-9万元/年；全日制硕士研究生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标准化师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全日制本科/全日制硕士研究生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机械类、材料类、电气类、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公共管理类等相关专业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熟练操作</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office、CAD软件</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全日制本科生6-9万元/年；全日制硕士研究生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人力资源</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机械类、材料类、电气类、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公共管理类等相关专业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熟悉人力资源相关知识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,熟练操作</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办公软件等</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全日制本科生6-9万元/年；全日制硕士研究生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行政助理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机械类、材料类、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电气类、电子、通信、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计算机类、自动化类、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工商管理类、公共管理类等相关专业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熟悉行政相关知识,熟练操作办公</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软件等</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6-9万元/年；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生产管理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机械类、材料类、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电气类、电子、通信、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计算机类、自动化类、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工商管理类、公共管理类等相关专业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熟练使用Microsoft office办公软件、机械制图软件</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6-9万元/年；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质量</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机械类、材料类、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电气类、电子、通信、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计算机类、自动化类、工商管理类、公共管理类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熟悉office软件操作、</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能识别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CAD图纸</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6-9万元/年；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衡阳泰豪通信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质检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机械类、材料类、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电气类、电子、通信、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计算机类、自动化类、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工商管理类、公共管理类等相关专业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熟悉office软件操作、</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能识别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CAD图纸</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6-9万元/年；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7-10万元/年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衡阳市建衡实业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企业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企业管理、工商管理、</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工程管理、技术经济及管理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具有中级职称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18万元以上/年；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博士研究生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25万元以上/年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衡阳市建衡实业</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实验员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全日制本科/</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全日制硕士</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企业管理、工商管理、</w:t>
            </w:r>
          </w:p>
          <w:p>
            <w:pPr>
              <w:spacing w:after="0" w:line="240" w:lineRule="atLeast"/>
              <w:jc w:val="center"/>
              <w:rPr>
                <w:rFonts w:ascii="Times New Roman" w:hAnsi="Times New Roman" w:cs="Times New Roman" w:eastAsiaTheme="minorEastAsia"/>
                <w:color w:val="000000" w:themeColor="text1"/>
                <w:spacing w:val="-11"/>
                <w:sz w:val="20"/>
                <w:szCs w:val="20"/>
                <w14:textFill>
                  <w14:solidFill>
                    <w14:schemeClr w14:val="tx1"/>
                  </w14:solidFill>
                </w14:textFill>
              </w:rPr>
            </w:pPr>
            <w:r>
              <w:rPr>
                <w:rFonts w:ascii="Times New Roman" w:hAnsi="Times New Roman" w:cs="Times New Roman" w:eastAsiaTheme="minorEastAsia"/>
                <w:color w:val="000000" w:themeColor="text1"/>
                <w:spacing w:val="-11"/>
                <w:sz w:val="20"/>
                <w:szCs w:val="20"/>
                <w14:textFill>
                  <w14:solidFill>
                    <w14:schemeClr w14:val="tx1"/>
                  </w14:solidFill>
                </w14:textFill>
              </w:rPr>
              <w:t>工程管理、技术经济及管理</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全日制本科生具有三年以上工作经验者6万元以上/年,双一流本科及以上学历毕业生具有五年以上工作经验者</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10万元以上/年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衡阳市建衡实业</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生产</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技术员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全日制本科/</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全日制硕士</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化学、化学工程与工艺、</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应用化学等相关专业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全日制本科生具有三年以上工作经验者6万元以上/年，双一流本科及以上学历毕业生具有五年以上工作经验者年薪10万元以上/年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衡阳市建衡实业</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设备主管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全日制本科/</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全日制硕士</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pacing w:val="-11"/>
                <w:sz w:val="20"/>
                <w:szCs w:val="20"/>
                <w14:textFill>
                  <w14:solidFill>
                    <w14:schemeClr w14:val="tx1"/>
                  </w14:solidFill>
                </w14:textFill>
              </w:rPr>
              <w:t>机械工程、机械设计制造及</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其自动化、材料科学与</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工程等相关专业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具有中级以上职称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全日制本科生具有三年以上工作经验者6万元以上/年，双一流本科及以上学历毕业生具有五年以上工作经验者10万元以上/年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衡阳市建衡实业</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财务主管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全日制本科/</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全日制硕士</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pacing w:val="-11"/>
                <w:sz w:val="20"/>
                <w:szCs w:val="20"/>
                <w14:textFill>
                  <w14:solidFill>
                    <w14:schemeClr w14:val="tx1"/>
                  </w14:solidFill>
                </w14:textFill>
              </w:rPr>
            </w:pPr>
            <w:r>
              <w:rPr>
                <w:rFonts w:ascii="Times New Roman" w:hAnsi="Times New Roman" w:cs="Times New Roman" w:eastAsiaTheme="minorEastAsia"/>
                <w:color w:val="000000" w:themeColor="text1"/>
                <w:spacing w:val="-11"/>
                <w:sz w:val="20"/>
                <w:szCs w:val="20"/>
                <w14:textFill>
                  <w14:solidFill>
                    <w14:schemeClr w14:val="tx1"/>
                  </w14:solidFill>
                </w14:textFill>
              </w:rPr>
              <w:t>财务管理、会计学、</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pacing w:val="-11"/>
                <w:sz w:val="20"/>
                <w:szCs w:val="20"/>
                <w14:textFill>
                  <w14:solidFill>
                    <w14:schemeClr w14:val="tx1"/>
                  </w14:solidFill>
                </w14:textFill>
              </w:rPr>
              <w:t>税收学、</w:t>
            </w:r>
            <w:r>
              <w:rPr>
                <w:rFonts w:ascii="Times New Roman" w:hAnsi="Times New Roman" w:cs="Times New Roman" w:eastAsiaTheme="minorEastAsia"/>
                <w:color w:val="000000" w:themeColor="text1"/>
                <w:sz w:val="20"/>
                <w:szCs w:val="20"/>
                <w14:textFill>
                  <w14:solidFill>
                    <w14:schemeClr w14:val="tx1"/>
                  </w14:solidFill>
                </w14:textFill>
              </w:rPr>
              <w:t>经济与金融、</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统计学等相关专业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具有中级以上职称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全日制本科生具有三年以上工作经验者6万元以上/年，双一流本科及以上学历毕业生具有五年以上工作经验者</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年薪10万元以上/年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pacing w:val="-11"/>
                <w:sz w:val="20"/>
                <w:szCs w:val="20"/>
                <w14:textFill>
                  <w14:solidFill>
                    <w14:schemeClr w14:val="tx1"/>
                  </w14:solidFill>
                </w14:textFill>
              </w:rPr>
            </w:pPr>
            <w:r>
              <w:rPr>
                <w:rFonts w:ascii="Times New Roman" w:hAnsi="Times New Roman" w:cs="Times New Roman" w:eastAsiaTheme="minorEastAsia"/>
                <w:color w:val="000000" w:themeColor="text1"/>
                <w:spacing w:val="-11"/>
                <w:sz w:val="20"/>
                <w:szCs w:val="20"/>
                <w14:textFill>
                  <w14:solidFill>
                    <w14:schemeClr w14:val="tx1"/>
                  </w14:solidFill>
                </w14:textFill>
              </w:rPr>
              <w:t>湖南乐福地医药包材</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科技有限公司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技术员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全日制本科/</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全日制硕士</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机械类等相关专业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1、具有良好的识图能力，能熟练掌握运用CAD，croe绘图相关软件；2、熟悉药品基本规范和法规</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pacing w:val="-11"/>
                <w:sz w:val="20"/>
                <w:szCs w:val="20"/>
                <w14:textFill>
                  <w14:solidFill>
                    <w14:schemeClr w14:val="tx1"/>
                  </w14:solidFill>
                </w14:textFill>
              </w:rPr>
            </w:pPr>
            <w:r>
              <w:rPr>
                <w:rFonts w:ascii="Times New Roman" w:hAnsi="Times New Roman" w:cs="Times New Roman" w:eastAsiaTheme="minorEastAsia"/>
                <w:color w:val="000000" w:themeColor="text1"/>
                <w:spacing w:val="-11"/>
                <w:sz w:val="20"/>
                <w:szCs w:val="20"/>
                <w14:textFill>
                  <w14:solidFill>
                    <w14:schemeClr w14:val="tx1"/>
                  </w14:solidFill>
                </w14:textFill>
              </w:rPr>
              <w:t>湖南乐福地医药包材</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科技有限公司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高分子材料改性人才</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全日制本科/</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全日制硕士</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高分子材料与工程</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color w:val="FF0000"/>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pacing w:val="-11"/>
                <w:sz w:val="20"/>
                <w:szCs w:val="20"/>
                <w14:textFill>
                  <w14:solidFill>
                    <w14:schemeClr w14:val="tx1"/>
                  </w14:solidFill>
                </w14:textFill>
              </w:rPr>
            </w:pPr>
            <w:r>
              <w:rPr>
                <w:rFonts w:ascii="Times New Roman" w:hAnsi="Times New Roman" w:cs="Times New Roman" w:eastAsiaTheme="minorEastAsia"/>
                <w:color w:val="000000" w:themeColor="text1"/>
                <w:spacing w:val="-11"/>
                <w:sz w:val="20"/>
                <w:szCs w:val="20"/>
                <w14:textFill>
                  <w14:solidFill>
                    <w14:schemeClr w14:val="tx1"/>
                  </w14:solidFill>
                </w14:textFill>
              </w:rPr>
              <w:t>湖南乐福地医药包材</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科技有限公司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产品/模具</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设计管理</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全日制本科/</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全日制硕士</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机械设计制造及</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其自动化</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color w:val="FF0000"/>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pacing w:val="-11"/>
                <w:sz w:val="20"/>
                <w:szCs w:val="20"/>
                <w14:textFill>
                  <w14:solidFill>
                    <w14:schemeClr w14:val="tx1"/>
                  </w14:solidFill>
                </w14:textFill>
              </w:rPr>
            </w:pPr>
            <w:r>
              <w:rPr>
                <w:rFonts w:ascii="Times New Roman" w:hAnsi="Times New Roman" w:cs="Times New Roman" w:eastAsiaTheme="minorEastAsia"/>
                <w:color w:val="000000" w:themeColor="text1"/>
                <w:spacing w:val="-11"/>
                <w:sz w:val="20"/>
                <w:szCs w:val="20"/>
                <w14:textFill>
                  <w14:solidFill>
                    <w14:schemeClr w14:val="tx1"/>
                  </w14:solidFill>
                </w14:textFill>
              </w:rPr>
              <w:t>湖南乐福地医药包材</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科技有限公司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药品国际</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认证专才</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全日制本科/</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全日制硕士</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中药学</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color w:val="FF0000"/>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pacing w:val="-11"/>
                <w:sz w:val="20"/>
                <w:szCs w:val="20"/>
                <w14:textFill>
                  <w14:solidFill>
                    <w14:schemeClr w14:val="tx1"/>
                  </w14:solidFill>
                </w14:textFill>
              </w:rPr>
            </w:pPr>
            <w:r>
              <w:rPr>
                <w:rFonts w:ascii="Times New Roman" w:hAnsi="Times New Roman" w:cs="Times New Roman" w:eastAsiaTheme="minorEastAsia"/>
                <w:color w:val="000000" w:themeColor="text1"/>
                <w:spacing w:val="-11"/>
                <w:sz w:val="20"/>
                <w:szCs w:val="20"/>
                <w14:textFill>
                  <w14:solidFill>
                    <w14:schemeClr w14:val="tx1"/>
                  </w14:solidFill>
                </w14:textFill>
              </w:rPr>
              <w:t>湖南乐福地医药包材</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科技有限公司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法务专员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全日制本科/</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全日制硕士</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人力资源管理</w:t>
            </w:r>
          </w:p>
          <w:p>
            <w:pPr>
              <w:spacing w:after="0" w:line="240" w:lineRule="atLeast"/>
              <w:jc w:val="center"/>
              <w:rPr>
                <w:rFonts w:ascii="Times New Roman" w:hAnsi="Times New Roman" w:cs="Times New Roman" w:eastAsiaTheme="minorEastAsia"/>
                <w:color w:val="000000" w:themeColor="text1"/>
                <w:sz w:val="20"/>
                <w:szCs w:val="20"/>
                <w14:textFill>
                  <w14:solidFill>
                    <w14:schemeClr w14:val="tx1"/>
                  </w14:solidFill>
                </w14:textFill>
              </w:rPr>
            </w:pPr>
            <w:r>
              <w:rPr>
                <w:rFonts w:ascii="Times New Roman" w:hAnsi="Times New Roman" w:cs="Times New Roman" w:eastAsiaTheme="minorEastAsia"/>
                <w:color w:val="000000" w:themeColor="text1"/>
                <w:sz w:val="20"/>
                <w:szCs w:val="20"/>
                <w14:textFill>
                  <w14:solidFill>
                    <w14:schemeClr w14:val="tx1"/>
                  </w14:solidFill>
                </w14:textFill>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1、具有8年以上行政人事工作经验，具有3年以上同岗位工作经验；2、熟悉、了解现代企业管理模式及相关法律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衡阳市金则利特种</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合金股份有限公司</w:t>
            </w:r>
          </w:p>
        </w:tc>
        <w:tc>
          <w:tcPr>
            <w:tcW w:w="776" w:type="dxa"/>
            <w:tcMar>
              <w:top w:w="0" w:type="dxa"/>
              <w:left w:w="51" w:type="dxa"/>
              <w:bottom w:w="0" w:type="dxa"/>
              <w:right w:w="51" w:type="dxa"/>
            </w:tcMar>
            <w:vAlign w:val="center"/>
          </w:tcPr>
          <w:p>
            <w:pPr>
              <w:spacing w:after="0"/>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研发专员</w:t>
            </w:r>
          </w:p>
        </w:tc>
        <w:tc>
          <w:tcPr>
            <w:tcW w:w="450" w:type="dxa"/>
            <w:tcMar>
              <w:top w:w="0" w:type="dxa"/>
              <w:left w:w="51" w:type="dxa"/>
              <w:bottom w:w="0" w:type="dxa"/>
              <w:right w:w="51" w:type="dxa"/>
            </w:tcMar>
            <w:vAlign w:val="center"/>
          </w:tcPr>
          <w:p>
            <w:pPr>
              <w:spacing w:after="0"/>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7</w:t>
            </w:r>
          </w:p>
        </w:tc>
        <w:tc>
          <w:tcPr>
            <w:tcW w:w="948"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w:t>
            </w:r>
            <w:r>
              <w:rPr>
                <w:rFonts w:hint="eastAsia" w:ascii="Times New Roman" w:hAnsi="Times New Roman" w:cs="Times New Roman" w:eastAsiaTheme="minorEastAsia"/>
                <w:sz w:val="20"/>
                <w:szCs w:val="20"/>
              </w:rPr>
              <w:t>硕士</w:t>
            </w: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冶金工程、</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金属材料工程、</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功能材料</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20" w:lineRule="atLeast"/>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衡阳市金则利特种</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合金股份有限公司</w:t>
            </w:r>
          </w:p>
        </w:tc>
        <w:tc>
          <w:tcPr>
            <w:tcW w:w="776" w:type="dxa"/>
            <w:tcMar>
              <w:top w:w="0" w:type="dxa"/>
              <w:left w:w="51" w:type="dxa"/>
              <w:bottom w:w="0" w:type="dxa"/>
              <w:right w:w="51" w:type="dxa"/>
            </w:tcMar>
            <w:vAlign w:val="center"/>
          </w:tcPr>
          <w:p>
            <w:pPr>
              <w:spacing w:after="0"/>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化验员</w:t>
            </w:r>
          </w:p>
        </w:tc>
        <w:tc>
          <w:tcPr>
            <w:tcW w:w="450" w:type="dxa"/>
            <w:tcMar>
              <w:top w:w="0" w:type="dxa"/>
              <w:left w:w="51" w:type="dxa"/>
              <w:bottom w:w="0" w:type="dxa"/>
              <w:right w:w="51" w:type="dxa"/>
            </w:tcMar>
            <w:vAlign w:val="center"/>
          </w:tcPr>
          <w:p>
            <w:pPr>
              <w:spacing w:after="0"/>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w:t>
            </w:r>
            <w:r>
              <w:rPr>
                <w:rFonts w:hint="eastAsia" w:ascii="Times New Roman" w:hAnsi="Times New Roman" w:cs="Times New Roman" w:eastAsiaTheme="minorEastAsia"/>
                <w:sz w:val="20"/>
                <w:szCs w:val="20"/>
              </w:rPr>
              <w:t>硕士</w:t>
            </w: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材料科学与工程、</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材料物理、</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材料化学等相关专业</w:t>
            </w:r>
          </w:p>
        </w:tc>
        <w:tc>
          <w:tcPr>
            <w:tcW w:w="1873" w:type="dxa"/>
            <w:tcMar>
              <w:top w:w="0" w:type="dxa"/>
              <w:left w:w="51" w:type="dxa"/>
              <w:bottom w:w="0" w:type="dxa"/>
              <w:right w:w="51" w:type="dxa"/>
            </w:tcMar>
            <w:vAlign w:val="center"/>
          </w:tcPr>
          <w:p>
            <w:pPr>
              <w:spacing w:after="0" w:line="220" w:lineRule="atLeast"/>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衡阳凯新特种材料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科技有限公司</w:t>
            </w:r>
          </w:p>
        </w:tc>
        <w:tc>
          <w:tcPr>
            <w:tcW w:w="776"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董事长</w:t>
            </w:r>
          </w:p>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秘书</w:t>
            </w:r>
          </w:p>
        </w:tc>
        <w:tc>
          <w:tcPr>
            <w:tcW w:w="450"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哲学类、中国语言文学类、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新闻传播学类、经济学类、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工商管理类、公共管理类、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法学类等相关专业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1、负责公司政策资金项目、工程建设项目的申报和验收工作；2、负责协助董事长对外关系的建立、维护及日常事务对接处理；3、负责董事长日常工作的整理和提示</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全勤奖、包食宿、通讯补助、五险、定期体检、项目奖金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衡阳凯新特种材料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科技有限公司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技术研发工程师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全日制硕士研究生及以上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材料类、化学类、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化学工程与技术类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具有工业陶瓷材料相关工作经验（如：氮化硅、碳化硅、氮化硼、氧化铝、氧化锆）</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15000-30000元/月、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全勤奖、包食宿、</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通讯补助、五险、</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定期体检、项目奖金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衡阳凯新特种材料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科技有限公司</w:t>
            </w:r>
          </w:p>
        </w:tc>
        <w:tc>
          <w:tcPr>
            <w:tcW w:w="776"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技术研发助理</w:t>
            </w:r>
          </w:p>
        </w:tc>
        <w:tc>
          <w:tcPr>
            <w:tcW w:w="450"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材料类、化学类、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化工与制药类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具有工业陶瓷（氮化硅、碳化硅、氧化铝、氧化锆等）相关工作经验者</w:t>
            </w:r>
          </w:p>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4000-8000元/月、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全勤奖、包食宿、</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五险、定期体检、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项目奖金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衡阳凯新特种材料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科技有限公司</w:t>
            </w:r>
          </w:p>
        </w:tc>
        <w:tc>
          <w:tcPr>
            <w:tcW w:w="776"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助理品质工程师</w:t>
            </w:r>
          </w:p>
        </w:tc>
        <w:tc>
          <w:tcPr>
            <w:tcW w:w="450"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材料类、化学类、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化工与制药类、机械类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具有三年以上品质管理经验，熟悉品质检验及质量管理体系</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3000-4000元/月、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全勤奖、包食宿、</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五险、定期体检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衡阳凯新特种材料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科技有限公司</w:t>
            </w:r>
          </w:p>
        </w:tc>
        <w:tc>
          <w:tcPr>
            <w:tcW w:w="776"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业务员</w:t>
            </w:r>
          </w:p>
        </w:tc>
        <w:tc>
          <w:tcPr>
            <w:tcW w:w="450"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不限</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1、熟练运用各种常用办公设备和软件，具有基本的图形（CAD）识别和处理能力；2、能适应长期出差</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5000-10000元/月、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全勤奖、包食宿、</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通讯补助、五险、</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定期体检、绩效奖金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衡阳凯新特种材料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科技有限公司</w:t>
            </w:r>
          </w:p>
        </w:tc>
        <w:tc>
          <w:tcPr>
            <w:tcW w:w="776"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生产经理</w:t>
            </w:r>
          </w:p>
        </w:tc>
        <w:tc>
          <w:tcPr>
            <w:tcW w:w="450"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全日制本科生/全日制硕士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材料类、化学类、</w:t>
            </w:r>
          </w:p>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化学工程与技术类、</w:t>
            </w:r>
          </w:p>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机械类、化工与制药类</w:t>
            </w:r>
          </w:p>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3年以上主持工业陶瓷生产管理工作经验，对工业陶瓷生产过程中安全、环保、产品质量、成本消耗负责；2、熟知工业陶瓷生产的成型、加工、烧结工艺设备技术；3、熟知ISO质量管理体系和“7S”管理知识并能有效运用</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8000-10000元/月、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全勤奖、包食宿、</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通讯补助、五险、</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定期体检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衡阳凯新特种材料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科技有限公司</w:t>
            </w:r>
          </w:p>
        </w:tc>
        <w:tc>
          <w:tcPr>
            <w:tcW w:w="776"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生产工程师</w:t>
            </w:r>
          </w:p>
        </w:tc>
        <w:tc>
          <w:tcPr>
            <w:tcW w:w="450" w:type="dxa"/>
            <w:tcMar>
              <w:top w:w="0" w:type="dxa"/>
              <w:left w:w="51" w:type="dxa"/>
              <w:bottom w:w="0" w:type="dxa"/>
              <w:right w:w="51" w:type="dxa"/>
            </w:tcMar>
            <w:vAlign w:val="center"/>
          </w:tcPr>
          <w:p>
            <w:pPr>
              <w:adjustRightInd/>
              <w:snapToGrid/>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材料类、化学类、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化工与制药类、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具有3年以上粉体成型模具设计（含干压、等静压、流延、注塑等成型方式）的工作经验</w:t>
            </w:r>
          </w:p>
        </w:tc>
        <w:tc>
          <w:tcPr>
            <w:tcW w:w="1709"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4000-6000元/月、全勤奖、包食宿、五险、定期体检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7"/>
                <w:sz w:val="20"/>
                <w:szCs w:val="20"/>
              </w:rPr>
            </w:pPr>
            <w:r>
              <w:rPr>
                <w:rFonts w:ascii="Times New Roman" w:hAnsi="Times New Roman" w:cs="Times New Roman" w:eastAsiaTheme="minorEastAsia"/>
                <w:spacing w:val="-17"/>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基础部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电气工程类、电子、通信、计算机类、控制科学与工程类、电力系统及其自动化等相关专业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具有电力工程、电力系统、输变电设备研发相关专业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研究经历</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享受优厚薪酬、</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博士津贴、专家公寓、</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股（期）权奖励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7"/>
                <w:sz w:val="20"/>
                <w:szCs w:val="20"/>
              </w:rPr>
            </w:pPr>
            <w:r>
              <w:rPr>
                <w:rFonts w:ascii="Times New Roman" w:hAnsi="Times New Roman" w:cs="Times New Roman" w:eastAsiaTheme="minorEastAsia"/>
                <w:spacing w:val="-17"/>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信息化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电力系统及其自动化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具有工业信息化、自动化、智能化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相关研究经历</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享受优厚薪酬、</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博士津贴、专家公寓、</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股（期）权奖励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南京电力</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研究院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研究员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电力系统及其自动化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具有电力系统、综合自动化保护、配网自动化相关</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研究经历</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享受优厚薪酬、</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博士津贴、专家公寓、</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股（期）权奖励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国内销售</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经理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18</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能源动力类、机械类、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自动化类、土建类等相关专业</w:t>
            </w:r>
          </w:p>
        </w:tc>
        <w:tc>
          <w:tcPr>
            <w:tcW w:w="1873" w:type="dxa"/>
            <w:tcMar>
              <w:top w:w="0" w:type="dxa"/>
              <w:left w:w="51" w:type="dxa"/>
              <w:bottom w:w="0" w:type="dxa"/>
              <w:right w:w="51" w:type="dxa"/>
            </w:tcMar>
            <w:vAlign w:val="center"/>
          </w:tcPr>
          <w:p>
            <w:pPr>
              <w:numPr>
                <w:ilvl w:val="0"/>
                <w:numId w:val="6"/>
              </w:num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2、2019、2020届毕业生；</w:t>
            </w:r>
          </w:p>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3、英语水平要求四级及以上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5000-9000元/月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国际销售</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经理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17</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外国语言文学类、经济学类、</w:t>
            </w:r>
            <w:r>
              <w:rPr>
                <w:rFonts w:ascii="Times New Roman" w:hAnsi="Times New Roman" w:cs="Times New Roman" w:eastAsiaTheme="minorEastAsia"/>
                <w:sz w:val="20"/>
                <w:szCs w:val="20"/>
              </w:rPr>
              <w:t>电气类、电气工程类、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能源动力类、机械类、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自动化类、土建类等相关专业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2、2019、2020届毕业生；3、英语水平要求四级及以上，语言类专业要求专业四级及以上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5000-9000元/月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会计岗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会计学、经济学类、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工商管理类等相关专业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2、院校要求985、211；3、2019、2020届毕业生； 4、英语水平要求四级及以上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设计岗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9</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能源动力类、机械类、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自动化类、土建类等</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2、2019、2020届毕业生；3、英语水平要求四级及以上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5000-9000元/月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质量</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质量管理工程、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工业工程等相关专业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2、2019、2020届毕业生；3、英语水平要求四级及以上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5000-9000元/月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电气工程类、自动化类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2、2019、2020届毕业生；3、英语水平要求四级及以上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5000-9000元/月。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企管岗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管理科学与工程、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工商管理、</w:t>
            </w:r>
            <w:r>
              <w:rPr>
                <w:rFonts w:ascii="Times New Roman" w:hAnsi="Times New Roman" w:cs="Times New Roman" w:eastAsiaTheme="minorEastAsia"/>
                <w:sz w:val="20"/>
                <w:szCs w:val="20"/>
              </w:rPr>
              <w:t>统计学、</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z w:val="20"/>
                <w:szCs w:val="20"/>
              </w:rPr>
              <w:t>企业管理、</w:t>
            </w:r>
            <w:r>
              <w:rPr>
                <w:rFonts w:ascii="Times New Roman" w:hAnsi="Times New Roman" w:cs="Times New Roman" w:eastAsiaTheme="minorEastAsia"/>
                <w:spacing w:val="-11"/>
                <w:sz w:val="20"/>
                <w:szCs w:val="20"/>
              </w:rPr>
              <w:t>金融学、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经济学类等相关专业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2、院校要求985、211；3、2019、2020届毕业生；4、英语水平要求四级及以上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行政</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行政管理、工商管理、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社会学等相关专业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2、院校要求985、211；3、2019、2020届毕业生；4、英语水平要求四级及以上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人事岗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社会保障、工商管理类、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经济学类等相关专业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2、院校要求985、211；3、2019、2020届毕业生；4、英语水平要求四级及以上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信息管理岗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自动化类、电子、</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2、2019、2020届毕业生；3、英语水平要求四级及以上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5000-9000元/月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工艺岗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过程装备与控制工程、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化工过程机械、动力工程及工程热物理类、机械类、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2、2019、2020届毕业生；3、英语水平要求四级及以上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5000-9000元/月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法务岗</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b/>
                <w:bCs/>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法学类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2、院校要求985、211；3、2019、2020届毕业生；4、英语水平要求四级及以上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特变电工衡阳变压器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检修</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运维经理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b/>
                <w:bCs/>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自动化类等相关专业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2、2019、2020届毕业生；</w:t>
            </w:r>
            <w:r>
              <w:rPr>
                <w:rFonts w:ascii="Times New Roman" w:hAnsi="Times New Roman" w:cs="Times New Roman" w:eastAsiaTheme="minorEastAsia"/>
                <w:spacing w:val="-11"/>
                <w:sz w:val="20"/>
                <w:szCs w:val="20"/>
              </w:rPr>
              <w:t>3、英语水平要求四级及以上</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5000-9000元/月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湖南星鑫航天新材料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股份有限公司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研发人员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化学工程与工艺、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高分子材料与工程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6-12万元/年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湖南星鑫航天新材料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股份有限公司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检验员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化学工程与工艺、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高分子材料与工程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湖南星鑫航天新材料</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股份有限公司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军品车间</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技术工</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化学工程与工艺、</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高分子材料与工程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衡阳合力工业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产品开发</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7"/>
                <w:sz w:val="20"/>
                <w:szCs w:val="20"/>
              </w:rPr>
              <w:t>1、年龄30周岁以下</w:t>
            </w:r>
            <w:r>
              <w:rPr>
                <w:rFonts w:hint="eastAsia" w:ascii="Times New Roman" w:hAnsi="Times New Roman" w:cs="Times New Roman" w:eastAsiaTheme="minorEastAsia"/>
                <w:spacing w:val="-17"/>
                <w:sz w:val="20"/>
                <w:szCs w:val="20"/>
              </w:rPr>
              <w:t>；</w:t>
            </w:r>
            <w:r>
              <w:rPr>
                <w:rFonts w:ascii="Times New Roman" w:hAnsi="Times New Roman" w:cs="Times New Roman" w:eastAsiaTheme="minorEastAsia"/>
                <w:sz w:val="20"/>
                <w:szCs w:val="20"/>
              </w:rPr>
              <w:t>2、取得英语四/六级证书者优先；3、取得计算机二/三级证书者优先；</w:t>
            </w:r>
            <w:r>
              <w:rPr>
                <w:rFonts w:ascii="Times New Roman" w:hAnsi="Times New Roman" w:cs="Times New Roman" w:eastAsiaTheme="minorEastAsia"/>
                <w:spacing w:val="-11"/>
                <w:sz w:val="20"/>
                <w:szCs w:val="20"/>
              </w:rPr>
              <w:t>4、应届毕业生优先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衡阳合力工业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质量管理及检验技术</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质量管理工程</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1、取得英语四/六级证书者优先；2、取得计算机二/三级证书者优先；3、应届毕业生优先；4、年龄30周岁以下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衡阳合力工业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车间技术</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1、取得英语四/六级证书者优先；2、取得计算机二/三级证书者优先；3、应届毕业生优先；4、年龄30周岁以下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衡阳合力工业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产品销售</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1、取得英语四/六级证书者优先；2、取得计算机二/三级证书者优先；3、应届毕业生优先；4、年龄30周岁以下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衡阳合力工业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组宣干事</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中国语言文学类、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新闻传播学类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1、取得英语四/六级证书者优先；2、取得计算机二/三级证书者优先；3、应届毕业生优先；4、年龄30周岁以下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衡阳合力工业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法务管理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法学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1、取得英语四/六级证书者优先；2、取得计算机二/三级证书者优先；3、应届毕业生优先；4、年龄30周岁以下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衡阳合力工业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生产调度</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1、取得英语四/六级证书者优先；2、取得计算机二/三级证书者优先；3、应届毕业生优先；4、年龄30周岁以下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衡阳合力工业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文件设计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图书档案管理类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1、取得英语四/六级证书者优先；2、取得计算机二/三级证书者优先；3、应届毕业生优先；4、年龄30周岁以下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衡阳合力工业</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车辆有限公司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信息系统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1、取得英语四/六级证书者优先；2、取得计算机二/三级证书者优先；3、应届毕业生优先；4、年龄30周岁以下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启迪古汉集团衡阳</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中药有限公司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中医药新产品工艺技术研发</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研究生及以上</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中医、中药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1、年龄35周岁以下；2、具有2-3年的相关工作经验优先</w:t>
            </w:r>
          </w:p>
        </w:tc>
        <w:tc>
          <w:tcPr>
            <w:tcW w:w="1709" w:type="dxa"/>
            <w:tcMar>
              <w:top w:w="0" w:type="dxa"/>
              <w:left w:w="51" w:type="dxa"/>
              <w:bottom w:w="0" w:type="dxa"/>
              <w:right w:w="51" w:type="dxa"/>
            </w:tcMar>
            <w:vAlign w:val="center"/>
          </w:tcPr>
          <w:p>
            <w:pPr>
              <w:spacing w:after="0" w:line="240" w:lineRule="atLeast"/>
              <w:ind w:firstLine="100" w:firstLineChars="50"/>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6000-10000元/月，享受五险一金及其他福利补贴，有项目资金激励，可面谈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启迪古汉集团衡阳</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中药有限公司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中药生产及质量管理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中药学、药学</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1、具有2-3年的相关工作经验优先；2、年龄30周岁以下</w:t>
            </w:r>
          </w:p>
        </w:tc>
        <w:tc>
          <w:tcPr>
            <w:tcW w:w="1709"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4500-7500元/月，享受五险一金及其他福利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启迪古汉集团衡阳</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中药有限公司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机械及电气自动化设备运维</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机械设计制造及其自动化、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电气工程及其自动化</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1具有2-3年的相关工作经验优先；2、年龄30周岁以下</w:t>
            </w:r>
          </w:p>
        </w:tc>
        <w:tc>
          <w:tcPr>
            <w:tcW w:w="1709"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4500-7500元/月，享受五险一金及其他福利。有工作经验或有特殊技能的可面谈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湖南中部芯谷科技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研发总监</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电路与系统</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1、具有副高级及以上专业技术职务任职资格；2、具有参与、管理芯片研发项目经验者优先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湖南中部芯谷科技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bCs/>
                <w:sz w:val="20"/>
                <w:szCs w:val="20"/>
              </w:rPr>
              <w:t>项目主管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微电子科学与工程</w:t>
            </w:r>
          </w:p>
          <w:p>
            <w:pPr>
              <w:spacing w:after="0" w:line="240" w:lineRule="atLeast"/>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1、具有工程师职称证者优先；2、具有参与、管理芯片研发项目经验者优先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湖南中部芯谷科技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bCs/>
                <w:sz w:val="20"/>
                <w:szCs w:val="20"/>
              </w:rPr>
              <w:t>芯片设计</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微电子科学与工程</w:t>
            </w:r>
          </w:p>
          <w:p>
            <w:pPr>
              <w:spacing w:after="0" w:line="240" w:lineRule="atLeast"/>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1、具有工程师职称证者优先；2、具有参与、管理芯片研发项目经验者优先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湖南省率为控制科技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质量</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1、年龄30周岁以下；2、具有相关工作经验者优先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湖南省率为控制科技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电器</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1、年龄30周岁以下；2、具有相关工作经验者优先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pacing w:val="-11"/>
                <w:sz w:val="20"/>
                <w:szCs w:val="20"/>
              </w:rPr>
              <w:t>湖南省率为控制科技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结构</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hint="eastAsia"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1、年龄30周岁以下；2、具有相关工作经验者优先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4000-7000元/月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药品生产技术管理储备</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制药工程、药学、</w:t>
            </w:r>
          </w:p>
          <w:p>
            <w:pPr>
              <w:pStyle w:val="11"/>
              <w:spacing w:after="0" w:line="240" w:lineRule="atLeast"/>
              <w:ind w:firstLine="0" w:firstLineChars="0"/>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药物制剂、药物分析、</w:t>
            </w:r>
          </w:p>
          <w:p>
            <w:pPr>
              <w:pStyle w:val="11"/>
              <w:spacing w:after="0" w:line="240" w:lineRule="atLeast"/>
              <w:ind w:firstLine="0" w:firstLineChars="0"/>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中药学等相关专业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1、年龄20-22周岁；2、能适应轮岗、加班</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4500-5000元/月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信息</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技术员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电子、通信、计算机类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1、有计算机相关执业职称优先录用；2、从事电子设备维护、网络管理、OA系统运维等工作3年以上；3、掌握电脑等设备维修、系统软件维护、服务器管理等工作技能</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3500-4500元/月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机电设备</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维修</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机械类、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电气工程及其自动化、</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电气工程与智能控制</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1、有本行业工作经历或特殊技能证书者优先；2、熟练解决自动化设备的基本问题</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OTC业务</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代表</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市场营销、药学、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基础医学类、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临床医学类等相关专业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有相关</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工作经验者优先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市场专员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广告学、基础医学类、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临床医学类、药学、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中药学、工商管理、</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市场营销等相关专业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1、熟悉OTC市场活动操作；2、有相关市场岗位工作经验，有成功案例优先考虑</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产品文案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基础医学类、临床医学类、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药学、中药学、广告学、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网络与新媒体</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4000-5000元/月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地区经理</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基础医学类、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临床医学类、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药学、市场营销</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销售内勤</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2</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基础医学类、</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临床医学类、药学、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中药学等相关专业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1、电脑操作熟练，办公软件精通；2、有一定财务知识者优先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3500-4500元/月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启迪古汉集团股份</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宣教团</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演员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舞蹈表演、舞蹈学、</w:t>
            </w:r>
          </w:p>
          <w:p>
            <w:pPr>
              <w:spacing w:after="0" w:line="240" w:lineRule="atLeast"/>
              <w:jc w:val="center"/>
              <w:rPr>
                <w:rFonts w:ascii="Times New Roman" w:hAnsi="Times New Roman" w:cs="Times New Roman" w:eastAsiaTheme="minorEastAsia"/>
                <w:spacing w:val="-11"/>
                <w:sz w:val="20"/>
                <w:szCs w:val="20"/>
              </w:rPr>
            </w:pPr>
            <w:r>
              <w:rPr>
                <w:rFonts w:ascii="Times New Roman" w:hAnsi="Times New Roman" w:cs="Times New Roman" w:eastAsiaTheme="minorEastAsia"/>
                <w:sz w:val="20"/>
                <w:szCs w:val="20"/>
              </w:rPr>
              <w:t>舞</w:t>
            </w:r>
            <w:r>
              <w:rPr>
                <w:rFonts w:ascii="Times New Roman" w:hAnsi="Times New Roman" w:cs="Times New Roman" w:eastAsiaTheme="minorEastAsia"/>
                <w:spacing w:val="-11"/>
                <w:sz w:val="20"/>
                <w:szCs w:val="20"/>
              </w:rPr>
              <w:t>蹈编导、戏剧学、</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音乐表演</w:t>
            </w: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年龄25周岁以下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3500-4000元/月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湖南省湘衡盐化</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高级人力</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pacing w:val="-11"/>
                <w:sz w:val="20"/>
                <w:szCs w:val="20"/>
              </w:rPr>
              <w:t>资源管理专员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工商管理类、公共管理类等相关专业</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1、具备人力资源管理相关证书优先；2、具有3年以上人力资源管理工作经验；3、熟悉人力资源日常管理工作流程</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10-15万元/年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湖南省湘衡盐化</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法律顾问</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法学类</w:t>
            </w:r>
          </w:p>
        </w:tc>
        <w:tc>
          <w:tcPr>
            <w:tcW w:w="1873" w:type="dxa"/>
            <w:tcMar>
              <w:top w:w="0" w:type="dxa"/>
              <w:left w:w="51" w:type="dxa"/>
              <w:bottom w:w="0" w:type="dxa"/>
              <w:right w:w="51" w:type="dxa"/>
            </w:tcMar>
            <w:vAlign w:val="center"/>
          </w:tcPr>
          <w:p>
            <w:pPr>
              <w:spacing w:after="0" w:line="24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1、具备法律职业资格证优先；2、具有3年以上法律相关工作经验；3、具备扎实的法律知识功底</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10-15万元/年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湖南省湘衡盐化</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高级文秘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中国语言文学类、</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新闻传播学类、</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哲学类等相关专业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持有中级及以上</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职称者优先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10-15万元/年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湖南省湘衡盐化</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有限责任公司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工程技术</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人员</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15</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全日制硕士</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电气类、自动化、</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机械类、材料类、</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能源动力类、</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化学工程与工艺、地矿类</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持有中级及</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以上职称优先</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6-15万元/年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湖南创大玉兔化工</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化工工艺</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3</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全日制硕士</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化学工程与工艺、</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无机化学等相关专业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具有工程师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职称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10000-15000元/月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湖南创大玉兔化工</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仪表自动化工程师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全日制硕士</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自动化类等相关专业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具有助理工程师</w:t>
            </w:r>
          </w:p>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职称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354"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湖南创大玉兔化工</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有限公司</w:t>
            </w:r>
          </w:p>
        </w:tc>
        <w:tc>
          <w:tcPr>
            <w:tcW w:w="77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土建</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工程师</w:t>
            </w:r>
          </w:p>
        </w:tc>
        <w:tc>
          <w:tcPr>
            <w:tcW w:w="450"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全日制硕士</w:t>
            </w:r>
          </w:p>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研究生</w:t>
            </w:r>
          </w:p>
        </w:tc>
        <w:tc>
          <w:tcPr>
            <w:tcW w:w="1766"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土建类等相关专业</w:t>
            </w:r>
          </w:p>
        </w:tc>
        <w:tc>
          <w:tcPr>
            <w:tcW w:w="1873"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具有工程师职称</w:t>
            </w:r>
          </w:p>
        </w:tc>
        <w:tc>
          <w:tcPr>
            <w:tcW w:w="1709" w:type="dxa"/>
            <w:tcMar>
              <w:top w:w="0" w:type="dxa"/>
              <w:left w:w="51" w:type="dxa"/>
              <w:bottom w:w="0" w:type="dxa"/>
              <w:right w:w="51" w:type="dxa"/>
            </w:tcMar>
            <w:vAlign w:val="center"/>
          </w:tcPr>
          <w:p>
            <w:pPr>
              <w:spacing w:after="0" w:line="24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8000-10000元/月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管网设计与建设技术员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50</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给排水科学与工程等</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相关专业</w:t>
            </w:r>
          </w:p>
        </w:tc>
        <w:tc>
          <w:tcPr>
            <w:tcW w:w="1873" w:type="dxa"/>
            <w:tcMar>
              <w:top w:w="0" w:type="dxa"/>
              <w:left w:w="51" w:type="dxa"/>
              <w:bottom w:w="0" w:type="dxa"/>
              <w:right w:w="51" w:type="dxa"/>
            </w:tcMar>
            <w:vAlign w:val="center"/>
          </w:tcPr>
          <w:p>
            <w:pPr>
              <w:spacing w:after="0"/>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机械</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技术员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30</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机械设计制造及其自动化</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电气</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工程师</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10</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电气工程及其自动化</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文秘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20</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汉语言文学、新闻学</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安全</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管理员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20</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安全防范技术</w:t>
            </w:r>
          </w:p>
        </w:tc>
        <w:tc>
          <w:tcPr>
            <w:tcW w:w="1873"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人力资源管理员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10</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人力资源管理</w:t>
            </w:r>
          </w:p>
        </w:tc>
        <w:tc>
          <w:tcPr>
            <w:tcW w:w="1873"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全日制本科毕业生年龄30周岁以下、全日制硕士研究生年龄35周岁以下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水质检测技术员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10</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化学、生物、环境工程</w:t>
            </w:r>
          </w:p>
        </w:tc>
        <w:tc>
          <w:tcPr>
            <w:tcW w:w="1873" w:type="dxa"/>
            <w:tcMar>
              <w:top w:w="0" w:type="dxa"/>
              <w:left w:w="51" w:type="dxa"/>
              <w:bottom w:w="0" w:type="dxa"/>
              <w:right w:w="51" w:type="dxa"/>
            </w:tcMar>
            <w:vAlign w:val="center"/>
          </w:tcPr>
          <w:p>
            <w:pPr>
              <w:spacing w:after="0"/>
              <w:textAlignment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全日制本科毕业生年龄30周岁以下、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工程预决算技术员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5</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工程造价</w:t>
            </w:r>
          </w:p>
        </w:tc>
        <w:tc>
          <w:tcPr>
            <w:tcW w:w="1873" w:type="dxa"/>
            <w:tcMar>
              <w:top w:w="0" w:type="dxa"/>
              <w:left w:w="51" w:type="dxa"/>
              <w:bottom w:w="0" w:type="dxa"/>
              <w:right w:w="51" w:type="dxa"/>
            </w:tcMar>
            <w:vAlign w:val="center"/>
          </w:tcPr>
          <w:p>
            <w:pPr>
              <w:spacing w:after="0"/>
              <w:textAlignment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全日制本科毕业生年龄30周岁以下、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法律顾问、招投标人员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4</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电子商务及法律</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相关专业</w:t>
            </w:r>
          </w:p>
        </w:tc>
        <w:tc>
          <w:tcPr>
            <w:tcW w:w="1873" w:type="dxa"/>
            <w:tcMar>
              <w:top w:w="0" w:type="dxa"/>
              <w:left w:w="51" w:type="dxa"/>
              <w:bottom w:w="0" w:type="dxa"/>
              <w:right w:w="51" w:type="dxa"/>
            </w:tcMar>
            <w:vAlign w:val="center"/>
          </w:tcPr>
          <w:p>
            <w:pPr>
              <w:spacing w:after="0"/>
              <w:textAlignment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全日制本科毕业生年龄30周岁以下、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计算机软件开发</w:t>
            </w:r>
          </w:p>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及维护</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技术员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5</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自动化</w:t>
            </w:r>
          </w:p>
        </w:tc>
        <w:tc>
          <w:tcPr>
            <w:tcW w:w="1873" w:type="dxa"/>
            <w:tcMar>
              <w:top w:w="0" w:type="dxa"/>
              <w:left w:w="51" w:type="dxa"/>
              <w:bottom w:w="0" w:type="dxa"/>
              <w:right w:w="51" w:type="dxa"/>
            </w:tcMar>
            <w:vAlign w:val="center"/>
          </w:tcPr>
          <w:p>
            <w:pPr>
              <w:spacing w:after="0"/>
              <w:textAlignment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全日制本科毕业生年龄30周岁以下、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财会、</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审计人员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10</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会计学等相关专业</w:t>
            </w:r>
          </w:p>
        </w:tc>
        <w:tc>
          <w:tcPr>
            <w:tcW w:w="1873" w:type="dxa"/>
            <w:tcMar>
              <w:top w:w="0" w:type="dxa"/>
              <w:left w:w="51" w:type="dxa"/>
              <w:bottom w:w="0" w:type="dxa"/>
              <w:right w:w="51" w:type="dxa"/>
            </w:tcMar>
            <w:vAlign w:val="center"/>
          </w:tcPr>
          <w:p>
            <w:pPr>
              <w:spacing w:after="0"/>
              <w:textAlignment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全日制本科毕业生年龄30周岁以下、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水表鉴定人员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5</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测试计量技术及仪器</w:t>
            </w:r>
          </w:p>
        </w:tc>
        <w:tc>
          <w:tcPr>
            <w:tcW w:w="1873" w:type="dxa"/>
            <w:tcMar>
              <w:top w:w="0" w:type="dxa"/>
              <w:left w:w="51" w:type="dxa"/>
              <w:bottom w:w="0" w:type="dxa"/>
              <w:right w:w="51" w:type="dxa"/>
            </w:tcMar>
            <w:vAlign w:val="center"/>
          </w:tcPr>
          <w:p>
            <w:pPr>
              <w:spacing w:after="0"/>
              <w:textAlignment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全日制本科毕业生年龄30周岁以下、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园林绿化设计员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2</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园林</w:t>
            </w:r>
          </w:p>
        </w:tc>
        <w:tc>
          <w:tcPr>
            <w:tcW w:w="1873" w:type="dxa"/>
            <w:tcMar>
              <w:top w:w="0" w:type="dxa"/>
              <w:left w:w="51" w:type="dxa"/>
              <w:bottom w:w="0" w:type="dxa"/>
              <w:right w:w="51" w:type="dxa"/>
            </w:tcMar>
            <w:vAlign w:val="center"/>
          </w:tcPr>
          <w:p>
            <w:pPr>
              <w:spacing w:after="0"/>
              <w:textAlignment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全日制本科毕业生年龄30周岁以下、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衡阳市水务投资</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集团有限公司</w:t>
            </w:r>
          </w:p>
        </w:tc>
        <w:tc>
          <w:tcPr>
            <w:tcW w:w="77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工程监理、建筑设计员</w:t>
            </w:r>
          </w:p>
        </w:tc>
        <w:tc>
          <w:tcPr>
            <w:tcW w:w="450"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5</w:t>
            </w:r>
          </w:p>
        </w:tc>
        <w:tc>
          <w:tcPr>
            <w:tcW w:w="948"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spacing w:after="0"/>
              <w:jc w:val="center"/>
              <w:textAlignment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工民建</w:t>
            </w:r>
          </w:p>
          <w:p>
            <w:pPr>
              <w:spacing w:after="0"/>
              <w:jc w:val="center"/>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（建筑学、工程管理）</w:t>
            </w:r>
          </w:p>
        </w:tc>
        <w:tc>
          <w:tcPr>
            <w:tcW w:w="1873" w:type="dxa"/>
            <w:tcMar>
              <w:top w:w="0" w:type="dxa"/>
              <w:left w:w="51" w:type="dxa"/>
              <w:bottom w:w="0" w:type="dxa"/>
              <w:right w:w="51" w:type="dxa"/>
            </w:tcMar>
            <w:vAlign w:val="center"/>
          </w:tcPr>
          <w:p>
            <w:pPr>
              <w:spacing w:after="0"/>
              <w:textAlignment w:val="center"/>
              <w:rPr>
                <w:rFonts w:ascii="Times New Roman" w:hAnsi="Times New Roman" w:cs="Times New Roman" w:eastAsiaTheme="minorEastAsia"/>
                <w:sz w:val="20"/>
                <w:szCs w:val="20"/>
              </w:rPr>
            </w:pPr>
            <w:r>
              <w:rPr>
                <w:rFonts w:ascii="Times New Roman" w:hAnsi="Times New Roman" w:cs="Times New Roman" w:eastAsiaTheme="minorEastAsia"/>
                <w:spacing w:val="-11"/>
                <w:sz w:val="20"/>
                <w:szCs w:val="20"/>
              </w:rPr>
              <w:t>全日制本科毕业生年龄30周岁以下、</w:t>
            </w:r>
            <w:r>
              <w:rPr>
                <w:rFonts w:ascii="Times New Roman" w:hAnsi="Times New Roman" w:cs="Times New Roman" w:eastAsiaTheme="minorEastAsia"/>
                <w:sz w:val="20"/>
                <w:szCs w:val="20"/>
              </w:rPr>
              <w:t>全日制硕士研究生年龄35周岁以下</w:t>
            </w:r>
          </w:p>
        </w:tc>
        <w:tc>
          <w:tcPr>
            <w:tcW w:w="1709" w:type="dxa"/>
            <w:tcMar>
              <w:top w:w="0" w:type="dxa"/>
              <w:left w:w="51" w:type="dxa"/>
              <w:bottom w:w="0" w:type="dxa"/>
              <w:right w:w="51" w:type="dxa"/>
            </w:tcMar>
            <w:vAlign w:val="center"/>
          </w:tcPr>
          <w:p>
            <w:pPr>
              <w:spacing w:after="0"/>
              <w:jc w:val="both"/>
              <w:textAlignment w:val="center"/>
              <w:rPr>
                <w:rFonts w:ascii="Times New Roman" w:hAnsi="Times New Roman" w:cs="Times New Roman" w:eastAsiaTheme="minorEastAsia"/>
                <w:sz w:val="20"/>
                <w:szCs w:val="20"/>
              </w:rPr>
            </w:pPr>
            <w:r>
              <w:rPr>
                <w:rFonts w:ascii="Times New Roman" w:hAnsi="Times New Roman" w:cs="Times New Roman" w:eastAsiaTheme="minorEastAsia"/>
                <w:color w:val="000000"/>
                <w:sz w:val="20"/>
                <w:szCs w:val="20"/>
              </w:rPr>
              <w:t>年薪6万元+住房补贴+职称津贴+绩效奖励；公司按国家相关法律法规为职工缴纳五险一金，提供带薪年休假、探亲假、婚假、产假等福利待遇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湖南汇升生物科技</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研发人员</w:t>
            </w:r>
          </w:p>
        </w:tc>
        <w:tc>
          <w:tcPr>
            <w:tcW w:w="450"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食品、化工、生物、</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营养、发酵等相关专业</w:t>
            </w:r>
          </w:p>
        </w:tc>
        <w:tc>
          <w:tcPr>
            <w:tcW w:w="1873"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1、年龄30周岁以下；2、具有相关工作经验者优先</w:t>
            </w:r>
          </w:p>
        </w:tc>
        <w:tc>
          <w:tcPr>
            <w:tcW w:w="1709"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年收入5-10万之间（含工资、绩效奖金等）节日福利，购买社保，包食宿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湖南汇升生物科技</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生产</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管理人员</w:t>
            </w:r>
          </w:p>
        </w:tc>
        <w:tc>
          <w:tcPr>
            <w:tcW w:w="450"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食品、化工、生物、</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营养、发酵等相关专业</w:t>
            </w:r>
          </w:p>
        </w:tc>
        <w:tc>
          <w:tcPr>
            <w:tcW w:w="1873"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1、限男性；2、年龄30周岁以下；3、具有车间管理经验</w:t>
            </w:r>
          </w:p>
        </w:tc>
        <w:tc>
          <w:tcPr>
            <w:tcW w:w="1709"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年收入5-10万之间（含工资、绩效奖金等）节日福利，购买社保，包食宿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湖南汇升生物科技</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营销人员</w:t>
            </w:r>
          </w:p>
        </w:tc>
        <w:tc>
          <w:tcPr>
            <w:tcW w:w="450"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10</w:t>
            </w:r>
          </w:p>
        </w:tc>
        <w:tc>
          <w:tcPr>
            <w:tcW w:w="948"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不限</w:t>
            </w:r>
          </w:p>
        </w:tc>
        <w:tc>
          <w:tcPr>
            <w:tcW w:w="1873"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具有销售工作经验者优先</w:t>
            </w:r>
          </w:p>
        </w:tc>
        <w:tc>
          <w:tcPr>
            <w:tcW w:w="1709"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年收入5-20万之间（含工资、绩效奖金等）节日福利，购买社保，包食宿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湖南汇升生物科技</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外贸专员</w:t>
            </w:r>
          </w:p>
        </w:tc>
        <w:tc>
          <w:tcPr>
            <w:tcW w:w="450"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国际贸易、</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电子商务、</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商务英语</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1、年龄30周岁以下；2、熟练英语口语和书写，熟悉外贸工作平台</w:t>
            </w:r>
          </w:p>
        </w:tc>
        <w:tc>
          <w:tcPr>
            <w:tcW w:w="1709"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年收入5-20万之间（含工资、绩效奖金等）节日福利，购买社保，包食宿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湖南汇升生物科技</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机修</w:t>
            </w:r>
          </w:p>
        </w:tc>
        <w:tc>
          <w:tcPr>
            <w:tcW w:w="450"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机电、机械</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等相关专业</w:t>
            </w:r>
          </w:p>
        </w:tc>
        <w:tc>
          <w:tcPr>
            <w:tcW w:w="1873"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1、具有电工或焊工特种操作证；2、具有机械维修经验，熟悉380V电工操作</w:t>
            </w:r>
          </w:p>
        </w:tc>
        <w:tc>
          <w:tcPr>
            <w:tcW w:w="1709"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年收入5-7万之间（含工资、绩效奖金等）节日福利，购买社保，包食宿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湖南汇升生物科技</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有限公司</w:t>
            </w:r>
          </w:p>
        </w:tc>
        <w:tc>
          <w:tcPr>
            <w:tcW w:w="77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特医食品</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专员</w:t>
            </w:r>
          </w:p>
        </w:tc>
        <w:tc>
          <w:tcPr>
            <w:tcW w:w="450"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5</w:t>
            </w:r>
          </w:p>
        </w:tc>
        <w:tc>
          <w:tcPr>
            <w:tcW w:w="948"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全日制本科</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及以上</w:t>
            </w:r>
          </w:p>
        </w:tc>
        <w:tc>
          <w:tcPr>
            <w:tcW w:w="1766" w:type="dxa"/>
            <w:tcMar>
              <w:top w:w="0" w:type="dxa"/>
              <w:left w:w="51" w:type="dxa"/>
              <w:bottom w:w="0" w:type="dxa"/>
              <w:right w:w="51" w:type="dxa"/>
            </w:tcMar>
            <w:vAlign w:val="center"/>
          </w:tcPr>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食品、化工、生物、</w:t>
            </w:r>
          </w:p>
          <w:p>
            <w:pPr>
              <w:spacing w:after="0" w:line="220" w:lineRule="atLeast"/>
              <w:jc w:val="center"/>
              <w:rPr>
                <w:rFonts w:ascii="Times New Roman" w:hAnsi="Times New Roman" w:cs="Times New Roman" w:eastAsiaTheme="minorEastAsia"/>
                <w:sz w:val="20"/>
                <w:szCs w:val="20"/>
              </w:rPr>
            </w:pPr>
            <w:r>
              <w:rPr>
                <w:rFonts w:ascii="Times New Roman" w:hAnsi="Times New Roman" w:cs="Times New Roman" w:eastAsiaTheme="minorEastAsia"/>
                <w:sz w:val="20"/>
                <w:szCs w:val="20"/>
              </w:rPr>
              <w:t>营养、发酵等相关专业</w:t>
            </w:r>
          </w:p>
        </w:tc>
        <w:tc>
          <w:tcPr>
            <w:tcW w:w="1873"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1、年龄30周岁以下；2、具有相关工作经验者优先</w:t>
            </w:r>
          </w:p>
        </w:tc>
        <w:tc>
          <w:tcPr>
            <w:tcW w:w="1709" w:type="dxa"/>
            <w:tcMar>
              <w:top w:w="0" w:type="dxa"/>
              <w:left w:w="51" w:type="dxa"/>
              <w:bottom w:w="0" w:type="dxa"/>
              <w:right w:w="51" w:type="dxa"/>
            </w:tcMar>
            <w:vAlign w:val="center"/>
          </w:tcPr>
          <w:p>
            <w:pPr>
              <w:spacing w:after="0" w:line="220" w:lineRule="atLeast"/>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年收入5-10万之间（含工资、绩效奖金等）节日福利，购买社保，包食宿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湖南衡山汽车</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制造有限公司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汽车电器工程师</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机械类</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熟悉汽车</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设计与运用</w:t>
            </w: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面谈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湖南衡山汽车</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制造有限公司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汽车涂装工程师</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机械类</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熟悉汽车</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设计与运用</w:t>
            </w: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面谈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湖南衡山汽车</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制造有限公司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汽车造型工程师</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机械类</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熟悉汽车</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设计与运用</w:t>
            </w: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面谈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湖南衡山汽车</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制造有限公司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pacing w:val="-11"/>
                <w:sz w:val="20"/>
                <w:szCs w:val="20"/>
              </w:rPr>
            </w:pPr>
            <w:r>
              <w:rPr>
                <w:rFonts w:ascii="Times New Roman" w:hAnsi="Times New Roman" w:cs="Times New Roman" w:eastAsiaTheme="minorEastAsia"/>
                <w:color w:val="000000"/>
                <w:spacing w:val="-11"/>
                <w:sz w:val="20"/>
                <w:szCs w:val="20"/>
              </w:rPr>
              <w:t>汽车车身</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pacing w:val="-11"/>
                <w:sz w:val="20"/>
                <w:szCs w:val="20"/>
              </w:rPr>
              <w:t>设计工程师</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2</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机械类</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熟悉汽车</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设计与运用</w:t>
            </w: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面谈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湖南衡山汽车</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制造有限公司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pacing w:val="-11"/>
                <w:sz w:val="20"/>
                <w:szCs w:val="20"/>
              </w:rPr>
              <w:t>汽车工艺工装工程师</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全日制本科</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及以上</w:t>
            </w: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机械类</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等相关专业</w:t>
            </w: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熟悉汽车</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设计与运用</w:t>
            </w: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ascii="Times New Roman" w:hAnsi="Times New Roman" w:cs="Times New Roman" w:eastAsiaTheme="minorEastAsia"/>
                <w:color w:val="000000"/>
                <w:sz w:val="20"/>
                <w:szCs w:val="20"/>
              </w:rPr>
              <w:t>面谈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衡阳市吉康建设监理有限责任公司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监理员</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10</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土建类、水利类、工商管理类等相关专业</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面议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衡阳市吉康建设监理有限责任公司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造价员</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10</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土建类、水利类、工商管理类等相关专业</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面议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衡阳市吉康建设监理有限责任公司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设计员</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10</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土建类、水利类、工商管理类等相关专业</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面议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衡阳市吉康建设监理有限责任公司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招标代理</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5</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土建类、水利类、工商管理类等相关专业</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面议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衡阳市吉康建设监理有限责任公司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专监</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5</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土建类、水利类、工商管理类等相关专业</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具有工程师职称。</w:t>
            </w: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面议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衡阳市吉康建设监理有限责任公司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总监</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5</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土建类、水利类、工商管理类等相关专业</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具有工程师职称、国家注册监理工程师执业资格证。</w:t>
            </w: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面议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衡阳市吉康建设监理有限责任公司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商务经理</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5</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中国语言文学类、工商管理类、经济学类、公共管理类等相关专业</w:t>
            </w: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面议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衡阳市吉康建设监理有限责任公司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人力资源</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中国语言文学类、工商管理类、经济学类、公共管理类等相关专业</w:t>
            </w: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面议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衡阳市吉康建设监理有限责任公司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办公室主任</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中国语言文学类、工商管理类、经济学类、公共管理类等相关专业</w:t>
            </w: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面议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衡阳市吉康建设监理有限责任公司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总经理助理</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中国语言文学类、工商管理类、经济学类、公共管理类等相关专业</w:t>
            </w:r>
          </w:p>
        </w:tc>
        <w:tc>
          <w:tcPr>
            <w:tcW w:w="1873"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面议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354"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衡阳雅士林房地产有限公司</w:t>
            </w:r>
          </w:p>
        </w:tc>
        <w:tc>
          <w:tcPr>
            <w:tcW w:w="77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衡阳县洪市镇明翰村“明翰红坊”谷芽糖厂总经理</w:t>
            </w:r>
          </w:p>
        </w:tc>
        <w:tc>
          <w:tcPr>
            <w:tcW w:w="450"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1</w:t>
            </w:r>
          </w:p>
        </w:tc>
        <w:tc>
          <w:tcPr>
            <w:tcW w:w="948"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全日制本科及以上</w:t>
            </w:r>
          </w:p>
        </w:tc>
        <w:tc>
          <w:tcPr>
            <w:tcW w:w="1766"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食品检验与生物类等相关专业</w:t>
            </w:r>
          </w:p>
        </w:tc>
        <w:tc>
          <w:tcPr>
            <w:tcW w:w="1873" w:type="dxa"/>
            <w:tcMar>
              <w:top w:w="0" w:type="dxa"/>
              <w:left w:w="51" w:type="dxa"/>
              <w:bottom w:w="0" w:type="dxa"/>
              <w:right w:w="51" w:type="dxa"/>
            </w:tcMar>
            <w:vAlign w:val="center"/>
          </w:tcPr>
          <w:p>
            <w:pPr>
              <w:pStyle w:val="11"/>
              <w:spacing w:after="0" w:line="240" w:lineRule="atLeast"/>
              <w:ind w:firstLine="0" w:firstLineChars="0"/>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1、中共党员；2、男性；3、有五年以上食品生产加工、管理实际工作经验；4、在同等条件下，衡阳县籍者可以优先。</w:t>
            </w:r>
          </w:p>
        </w:tc>
        <w:tc>
          <w:tcPr>
            <w:tcW w:w="1709" w:type="dxa"/>
            <w:tcMar>
              <w:top w:w="0" w:type="dxa"/>
              <w:left w:w="51" w:type="dxa"/>
              <w:bottom w:w="0" w:type="dxa"/>
              <w:right w:w="51" w:type="dxa"/>
            </w:tcMar>
            <w:vAlign w:val="center"/>
          </w:tcPr>
          <w:p>
            <w:pPr>
              <w:pStyle w:val="11"/>
              <w:spacing w:after="0" w:line="240" w:lineRule="atLeast"/>
              <w:ind w:firstLine="0" w:firstLineChars="0"/>
              <w:jc w:val="center"/>
              <w:rPr>
                <w:rFonts w:ascii="Times New Roman" w:hAnsi="Times New Roman" w:cs="Times New Roman" w:eastAsiaTheme="minorEastAsia"/>
                <w:color w:val="000000"/>
                <w:sz w:val="20"/>
                <w:szCs w:val="20"/>
              </w:rPr>
            </w:pPr>
            <w:r>
              <w:rPr>
                <w:rFonts w:hint="eastAsia" w:ascii="Times New Roman" w:hAnsi="Times New Roman" w:cs="Times New Roman" w:eastAsiaTheme="minorEastAsia"/>
                <w:color w:val="000000"/>
                <w:sz w:val="20"/>
                <w:szCs w:val="20"/>
              </w:rPr>
              <w:t>年薪12万+年度绩效奖励</w:t>
            </w:r>
          </w:p>
        </w:tc>
      </w:tr>
    </w:tbl>
    <w:p>
      <w:pPr>
        <w:rPr>
          <w:rFonts w:hint="eastAsia" w:ascii="仿宋_GB2312" w:hAnsi="仿宋_GB2312" w:eastAsia="仿宋_GB2312" w:cs="仿宋_GB2312"/>
          <w:b w:val="0"/>
          <w:bCs w:val="0"/>
          <w:i w:val="0"/>
          <w:caps w:val="0"/>
          <w:color w:val="111111"/>
          <w:spacing w:val="0"/>
          <w:sz w:val="27"/>
          <w:szCs w:val="27"/>
          <w:shd w:val="clear" w:fill="FFFFFF"/>
          <w:vertAlign w:val="baseline"/>
          <w:lang w:eastAsia="zh-CN"/>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405" w:lineRule="atLeast"/>
        <w:ind w:left="0" w:right="0" w:firstLine="0"/>
        <w:textAlignment w:val="baseline"/>
        <w:rPr>
          <w:rFonts w:hint="eastAsia" w:ascii="微软雅黑" w:hAnsi="微软雅黑" w:eastAsia="微软雅黑" w:cs="微软雅黑"/>
          <w:i w:val="0"/>
          <w:caps w:val="0"/>
          <w:color w:val="111111"/>
          <w:spacing w:val="0"/>
          <w:sz w:val="27"/>
          <w:szCs w:val="27"/>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大标宋简体">
    <w:altName w:val="微软雅黑"/>
    <w:panose1 w:val="00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FF4FF73"/>
    <w:multiLevelType w:val="singleLevel"/>
    <w:tmpl w:val="DFF4FF73"/>
    <w:lvl w:ilvl="0" w:tentative="0">
      <w:start w:val="1"/>
      <w:numFmt w:val="decimal"/>
      <w:suff w:val="nothing"/>
      <w:lvlText w:val="%1、"/>
      <w:lvlJc w:val="left"/>
    </w:lvl>
  </w:abstractNum>
  <w:abstractNum w:abstractNumId="1">
    <w:nsid w:val="F21A5FBD"/>
    <w:multiLevelType w:val="singleLevel"/>
    <w:tmpl w:val="F21A5FBD"/>
    <w:lvl w:ilvl="0" w:tentative="0">
      <w:start w:val="1"/>
      <w:numFmt w:val="decimal"/>
      <w:suff w:val="nothing"/>
      <w:lvlText w:val="%1、"/>
      <w:lvlJc w:val="left"/>
    </w:lvl>
  </w:abstractNum>
  <w:abstractNum w:abstractNumId="2">
    <w:nsid w:val="FF358817"/>
    <w:multiLevelType w:val="singleLevel"/>
    <w:tmpl w:val="FF358817"/>
    <w:lvl w:ilvl="0" w:tentative="0">
      <w:start w:val="1"/>
      <w:numFmt w:val="decimal"/>
      <w:suff w:val="nothing"/>
      <w:lvlText w:val="%1、"/>
      <w:lvlJc w:val="left"/>
    </w:lvl>
  </w:abstractNum>
  <w:abstractNum w:abstractNumId="3">
    <w:nsid w:val="2AC0411F"/>
    <w:multiLevelType w:val="singleLevel"/>
    <w:tmpl w:val="2AC0411F"/>
    <w:lvl w:ilvl="0" w:tentative="0">
      <w:start w:val="1"/>
      <w:numFmt w:val="decimal"/>
      <w:suff w:val="nothing"/>
      <w:lvlText w:val="%1、"/>
      <w:lvlJc w:val="left"/>
    </w:lvl>
  </w:abstractNum>
  <w:abstractNum w:abstractNumId="4">
    <w:nsid w:val="3B10E4CD"/>
    <w:multiLevelType w:val="singleLevel"/>
    <w:tmpl w:val="3B10E4CD"/>
    <w:lvl w:ilvl="0" w:tentative="0">
      <w:start w:val="1"/>
      <w:numFmt w:val="decimal"/>
      <w:suff w:val="nothing"/>
      <w:lvlText w:val="%1、"/>
      <w:lvlJc w:val="left"/>
    </w:lvl>
  </w:abstractNum>
  <w:abstractNum w:abstractNumId="5">
    <w:nsid w:val="63542892"/>
    <w:multiLevelType w:val="singleLevel"/>
    <w:tmpl w:val="63542892"/>
    <w:lvl w:ilvl="0" w:tentative="0">
      <w:start w:val="1"/>
      <w:numFmt w:val="chineseCounting"/>
      <w:suff w:val="nothing"/>
      <w:lvlText w:val="（%1）"/>
      <w:lvlJc w:val="left"/>
      <w:rPr>
        <w:rFonts w:hint="eastAsia"/>
      </w:rPr>
    </w:lvl>
  </w:abstractNum>
  <w:num w:numId="1">
    <w:abstractNumId w:val="5"/>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2C304B"/>
    <w:rsid w:val="009F5028"/>
    <w:rsid w:val="052A21F3"/>
    <w:rsid w:val="056D594E"/>
    <w:rsid w:val="0D1C3E7C"/>
    <w:rsid w:val="109554F3"/>
    <w:rsid w:val="112C304B"/>
    <w:rsid w:val="11320994"/>
    <w:rsid w:val="11FC6EF1"/>
    <w:rsid w:val="156E7311"/>
    <w:rsid w:val="18BA5E82"/>
    <w:rsid w:val="1CD833A2"/>
    <w:rsid w:val="1F41594F"/>
    <w:rsid w:val="24947D81"/>
    <w:rsid w:val="254D6433"/>
    <w:rsid w:val="266030D9"/>
    <w:rsid w:val="2D64138D"/>
    <w:rsid w:val="31DD2E3A"/>
    <w:rsid w:val="335612AD"/>
    <w:rsid w:val="3EE702EF"/>
    <w:rsid w:val="3EEA05A1"/>
    <w:rsid w:val="40935F72"/>
    <w:rsid w:val="49A200AB"/>
    <w:rsid w:val="54665410"/>
    <w:rsid w:val="55767682"/>
    <w:rsid w:val="57927F52"/>
    <w:rsid w:val="5C5845B3"/>
    <w:rsid w:val="5DCA6A4E"/>
    <w:rsid w:val="601D2709"/>
    <w:rsid w:val="64822C82"/>
    <w:rsid w:val="65A714F3"/>
    <w:rsid w:val="6DB01848"/>
    <w:rsid w:val="7EF01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character" w:styleId="9">
    <w:name w:val="page number"/>
    <w:basedOn w:val="7"/>
    <w:qFormat/>
    <w:uiPriority w:val="0"/>
  </w:style>
  <w:style w:type="character" w:styleId="10">
    <w:name w:val="Hyperlink"/>
    <w:basedOn w:val="7"/>
    <w:qFormat/>
    <w:uiPriority w:val="0"/>
    <w:rPr>
      <w:color w:val="0000FF"/>
      <w:u w:val="single"/>
    </w:rPr>
  </w:style>
  <w:style w:type="paragraph" w:styleId="11">
    <w:name w:val="List Paragraph"/>
    <w:basedOn w:val="1"/>
    <w:qFormat/>
    <w:uiPriority w:val="34"/>
    <w:pPr>
      <w:ind w:firstLine="420" w:firstLineChars="200"/>
    </w:pPr>
  </w:style>
  <w:style w:type="character" w:customStyle="1" w:styleId="12">
    <w:name w:val="font31"/>
    <w:basedOn w:val="7"/>
    <w:qFormat/>
    <w:uiPriority w:val="0"/>
    <w:rPr>
      <w:rFonts w:hint="eastAsia" w:ascii="宋体" w:hAnsi="宋体" w:eastAsia="宋体" w:cs="宋体"/>
      <w:color w:val="000000"/>
      <w:sz w:val="24"/>
      <w:szCs w:val="24"/>
      <w:u w:val="none"/>
    </w:rPr>
  </w:style>
  <w:style w:type="character" w:customStyle="1" w:styleId="13">
    <w:name w:val="font11"/>
    <w:basedOn w:val="7"/>
    <w:qFormat/>
    <w:uiPriority w:val="0"/>
    <w:rPr>
      <w:rFonts w:hint="eastAsia" w:ascii="宋体" w:hAnsi="宋体" w:eastAsia="宋体" w:cs="宋体"/>
      <w:color w:val="000000"/>
      <w:sz w:val="24"/>
      <w:szCs w:val="24"/>
      <w:u w:val="none"/>
    </w:rPr>
  </w:style>
  <w:style w:type="character" w:customStyle="1" w:styleId="14">
    <w:name w:val="font41"/>
    <w:basedOn w:val="7"/>
    <w:qFormat/>
    <w:uiPriority w:val="0"/>
    <w:rPr>
      <w:rFonts w:hint="eastAsia" w:ascii="宋体" w:hAnsi="宋体" w:eastAsia="宋体" w:cs="宋体"/>
      <w:color w:val="000000"/>
      <w:sz w:val="24"/>
      <w:szCs w:val="24"/>
      <w:u w:val="none"/>
    </w:rPr>
  </w:style>
  <w:style w:type="character" w:customStyle="1" w:styleId="15">
    <w:name w:val="font71"/>
    <w:basedOn w:val="7"/>
    <w:qFormat/>
    <w:uiPriority w:val="0"/>
    <w:rPr>
      <w:rFonts w:hint="eastAsia" w:ascii="宋体" w:hAnsi="宋体" w:eastAsia="宋体" w:cs="宋体"/>
      <w:color w:val="000000"/>
      <w:sz w:val="24"/>
      <w:szCs w:val="24"/>
      <w:u w:val="none"/>
    </w:rPr>
  </w:style>
  <w:style w:type="character" w:customStyle="1" w:styleId="16">
    <w:name w:val="font2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2019-12-03T08:42:00Z</dcterms:created>
  <dc:creator>俏※学不会</dc:creator>
  <cp:lastModifiedBy>resetjingjing</cp:lastModifiedBy>
  <dcterms:modified xsi:type="dcterms:W3CDTF">2019-12-07T09:23:04Z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